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 vom 18. Dezember 2015</w:t>
      </w:r>
    </w:p>
    <w:p>
      <w:r>
        <w:t>VD Tribunal cantonal, 2015-12-18, FR</w:t>
      </w:r>
    </w:p>
    <w:p>
      <w:r>
        <w:rPr>
          <w:b/>
        </w:rPr>
        <w:t xml:space="preserve">Quelle: </w:t>
      </w:r>
      <w:r>
        <w:t>https://mcp.opencaselaw.ch/entscheid/vd_findinfo_HC___2016___16</w:t>
      </w:r>
    </w:p>
    <w:p>
      <w:r>
        <w:t>FR: VD_FINDINFO HC / 2016 / 16 du 18 décembre 2015</w:t>
      </w:r>
    </w:p>
    <w:p>
      <w:r>
        <w:t>IT: VD_FINDINFO HC / 2016 / 16 del 18 dicembre 2015</w:t>
      </w:r>
    </w:p>
    <w:p>
      <w:pPr>
        <w:pStyle w:val="Heading2"/>
      </w:pPr>
      <w:r>
        <w:t>Regeste</w:t>
      </w:r>
    </w:p>
    <w:p>
      <w:r>
        <w:t>DROIT D'ÊTRE ENTENDU, PROTECTION DE L'UNION CONJUGALE, DÉBAT DU TRIBUNAL | 6 CEDH, 29 al. 2 Cst.</w:t>
      </w:r>
    </w:p>
    <w:p>
      <w:pPr>
        <w:pStyle w:val="Heading2"/>
      </w:pPr>
      <w:r>
        <w:t>Erwägungen</w:t>
      </w:r>
    </w:p>
    <w:p>
      <w:r>
        <w:rPr>
          <w:b/>
        </w:rPr>
        <w:t>E. 1</w:t>
      </w:r>
    </w:p>
    <w:p>
      <w:r>
        <w:t>a)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soutient en premier lieu qu'il y aurait une violation du droit d'être entendu en ce sens que la décision repose essentiellement sur le contenu du rapport d'expertise du 10 août 2015. Selon lui – pour autant que l'on comprenne ce qu'il entend critiquer –, il aurait dû être entendu non seulement sur le rapport lui-même, mais aussi sur la mise en oeuvre dudit rapport et sur ses requêtes de production de pièces. a) aa) Compris comme l'un des aspects de la notion générale du droit à un procès équitable au sens des art. 29 Cst (Constitution fédérale de la Confédération suisse du 18 avril 1999, RS 101) et 6 CEDH (Convention de sauvegarde des droits de l'homme et des libertés fondamentales du 4 novembre 1950,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consid. 5.1; ATF 129 II 497 consid. 2.2; ATF 126 I 15 consid.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ATF 133 I 100 consid. 4.3; ATF 132 I 42 consid. 3.3.2), qu'il soit ou non concrètement susceptible d'influer sur le jugement à rendre (Juge délégué CACI 13 avril 2015/157). En particulier, le juge peut s'abstenir de tenir une audience uniquement s'il résulte des allégués des parties que l'état de fait est clair ou incontesté (art. 273 al. 1 in fine CPC). Il est ainsi possible de renoncer à tenir une audience si la requête est irrecevable ou rejetée comme manifestement mal fondée, ou encore lorsque la partie a pu se déterminer sur pièces. Ces règles ne s'appliquent toutefois qu'exceptionnellement aux mesures protectrices, la tenue d'une audience étant en principe obligatoire. Cela est d'autant plus valable lorsqu'il s'agit de régler le sort d'enfants mineurs (Tappy, CPC commenté, nn. 17 et 18 ad art. 273 CPC). Cette disposition renvoie d'ailleurs à l'art. 297 al. 1 CPC, qui prévoit que le tribunal doit entendre les parents personnellement pour régler le sort des enfants. Il s'agit d'une obligation d'abord pour respecter le droit d'être entendu, les parents étant indubitablement concernés par les dispositions à prendre, mais aussi en raison des maximes inquisitoires et d'office, qui doivent permettre au juge d'apprécier directement le comportement des parents et leurs réactions, afin de cerner leurs aptitudes respectives à assumer leurs obligations (Jeandin, CPC commenté, nn. 5 et 6 ad art. 297 CPC). bb) Le droit d’être entendu est un droit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b) En l'espèce, il ressort du dossier que la présidente a, par sa décision du 16 septembre 2015, chargé l'assistant social [...] de mettre en place un suivi pédopsychiatrique pour C.Q.________ et un droit de visite médiatisé et un appui éducatif en faveur de l'intimée. Or, cette décision a été prise à la suite du dépôt de requêtes de mesures protectrices les 20, 26 et 27 août 2015 sur la base du dossier en mains de la présidente, mais sans qu'une audience ne soit fixée et ne permette d'entendre les parties, tout particulièrement sur leurs positions, mais aussi sur leur compréhension des enjeux pour leur enfant. Au vu des règles légales et jurisprudentielles, une audience était nécessaire, même elle devait être cadrée de manière étroite pour ne porter que sur l'objet à examiner. Force est dès lors d’admettre que le droit d’être entendu de l’appelant n’a pas été respecté. Le moyen est ainsi bien fondé. Cette violation manifeste du droit d'être entendu de l'appelant ne saurait être réparée en appel et justifie à elle seule l'annulation de l'ordonnance, sans examen des chances de succès de l'appel sur le fond. Il appartiendra au premier juge de fixer une audience durant laquelle chaque partie sera entendue.</w:t>
      </w:r>
    </w:p>
    <w:p>
      <w:r>
        <w:rPr>
          <w:b/>
        </w:rPr>
        <w:t>E. 4</w:t>
      </w:r>
    </w:p>
    <w:p>
      <w:r>
        <w:t>a) En définitive, l'appel doit être admis et l'ordonnance entreprise annulée. La cause sera renvoyée au premier juge pour qu'il statue à nouveau après avoir entendu les parties lors d’une audience tenue à bref délai. b) En vertu de l'art. 107 al. 2 CPC, les frais judiciaires qui ne sont pas imputables aux parties ni aux tiers peuvent être mis à la charge du canton si l'équité l'exige. Il se justifie de faire application de cette disposition en l'espèce, où la décision attaquée doit être annulée parce que le premier juge a violé le droit d'être entendu des deux parties en s’abstenant de les convoquer à une audience. Par conséquent, les frais judiciaires de deuxième instance (art. 106 al. 1 CPC), qui doivent être arrêtés à 1’200 fr. (art. 65 al. 3 TFJC [tarif des frais judiciaires civils du 28 septembre 2010, RSV 270.11.5]), seront laissés à la charge de l'Etat et l'avance de frais de 1’200 fr. fournie par l'appelant lui sera restituée (cf. art. 111 al. 2 CPC) (CACI 10 septembre 2013/461 c. 3b). c) Il n’y a pas lieu à l’allocation de dépens, l’appelant ayant agi sans l’assistance d’un avocat, aucun frais n’étant d’ailleurs mis à sa charge. Par ces motifs, le juge délégué de la Cour d’appel civile du Tribunal cantonal prononce : I. L’appel est admis. II. Le prononcé est annulé et la cause est renvoyée à la Présidente du Tribunal civil de l’arrondissement de La Côte pour qu’elle procède dans le sens des considérants. III. Les frais judiciaires de deuxième instance, arrêtés à 1'200 fr. (mille deux cents francs), sont laissés à la charge de l’Etat. IV. L’avance de frais de 1'200 fr. (mille deux cents francs) effectuée par l’appelant A.Q.________ lui est restituée. V. Il n’est pas alloué de dépens. VI. L’arrêt motivé est exécutoire. Le juge délégué : La greffière : Du 21 décembre 2015 Le dispositif de l'arrêt qui précède est communiqué par écrit aux intéressés. La greffière : Du L'arrêt qui précède, dont la rédaction a été approuvée à huis clos, est notifié en expédition complète, par l'envoi de photocopies, à : ‑ Me Patricia Michellod (pour  B.Q.________), ‑ M. A.Q.________.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 SPJ, ORPM de l’Ouest vaudois, M.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