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142 vom 19. Januar 2016</w:t>
      </w:r>
    </w:p>
    <w:p>
      <w:r>
        <w:t>VD Tribunal cantonal, 2016-01-19, FR</w:t>
      </w:r>
    </w:p>
    <w:p>
      <w:r>
        <w:rPr>
          <w:b/>
        </w:rPr>
        <w:t xml:space="preserve">Quelle: </w:t>
      </w:r>
      <w:r>
        <w:t>https://mcp.opencaselaw.ch/entscheid/vd_findinfo_HC___2016___142</w:t>
      </w:r>
    </w:p>
    <w:p>
      <w:r>
        <w:t>FR: VD_FINDINFO HC / 2016 / 142 du 19 janvier 2016</w:t>
      </w:r>
    </w:p>
    <w:p>
      <w:r>
        <w:t>IT: VD_FINDINFO HC / 2016 / 142 del 19 gennaio 2016</w:t>
      </w:r>
    </w:p>
    <w:p>
      <w:pPr>
        <w:pStyle w:val="Heading2"/>
      </w:pPr>
      <w:r>
        <w:t>Regeste</w:t>
      </w:r>
    </w:p>
    <w:p>
      <w:r>
        <w:t>OBLIGATION D'ENTRETIEN, PROTECTION DE L'UNION CONJUGALE |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RSV 173.01]). En l’espèce, formé en temps utile par une partie qui y a intérêt et portant sur des conclusions qui, capitalisées selon l’art. 92 al. 2 CPC, sont supérieures à 10'000 fr., le présent appel est recevable.</w:t>
      </w:r>
    </w:p>
    <w:p>
      <w:r>
        <w:rPr>
          <w:b/>
        </w:rPr>
        <w:t>E. 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w:t>
      </w:r>
    </w:p>
    <w:p>
      <w:r>
        <w:rPr>
          <w:b/>
        </w:rPr>
        <w:t>E. 2.2</w:t>
      </w:r>
    </w:p>
    <w:p>
      <w:r>
        <w:t>À l’appui de ses arguments, l’appelant a produit un document daté du 23 novembre 2015, intitulé « Présentation des résultats du calcul approximatif des prestations complémentaires ». La question de la recevabilité de cette pièce peut être laissée ouverte dans la mesure où, comme on le verra ci-dessous (cf. consid. 5), elle n’est pas déterminante pour trancher le litige. Quant à l’intimée, elle a produit deux nouvelles pièces, soit une attestation établie par [...] le 23 décembre 2015, avec la copie de quatre bulletins de versement, ainsi qu’une décision du bureau des prestations complémentaires AVS datée du 7 décembre 2015. Là encore, il convient de tenir compte de ces pièces, postérieures à l’ordonnance litigieuse, dans la mesure de leur utilité.</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w:t>
      </w:r>
    </w:p>
    <w:p>
      <w:r>
        <w:rPr>
          <w:b/>
        </w:rPr>
        <w:t>E. 4</w:t>
      </w:r>
    </w:p>
    <w:p>
      <w:r>
        <w:t>L’appelant reproche au premier juge d’avoir apprécié les faits de manière arbitraire.</w:t>
      </w:r>
    </w:p>
    <w:p>
      <w:r>
        <w:rPr>
          <w:b/>
        </w:rPr>
        <w:t>E. 4.1</w:t>
      </w:r>
    </w:p>
    <w:p>
      <w:r>
        <w:t>Il soutient tout d’abord que les parties vivaient encore sous le même toit jusqu’au mois d’août 2015, contrairement à ce qu’avait retenu le magistrat.</w:t>
      </w:r>
    </w:p>
    <w:p>
      <w:r>
        <w:rPr>
          <w:b/>
        </w:rPr>
        <w:t>E. 4.1.1</w:t>
      </w:r>
    </w:p>
    <w:p>
      <w:r>
        <w:t>Aux termes de l’art. 114 CC (Code civil suisse du 10 décembre 1907; RS 210), un époux peut demander le divorce lorsque, au début de la litispendance ou au jour du remplacement de la requête par une demande unilatérale, les conjoints ont vécu séparés pendant deux ans au moins. La notion de vie séparée est commune aux art. 114 et 175 ss CC (TF 5P.26/2007 du 25 juin 2007 consid. 3.3 et les réf. citées ; CACI 7 janvier 2014/14 consid. 3b). Le délai de l'art. 114 CC commence à courir dès qu'un conjoint réalise dans les faits sa volonté de mettre un terme à la vie commune ou, à tout le moins, montre par son comportement qu'il ne prend plus le mariage au sérieux. La séparation est liée au mariage et témoigne d'une relation perturbée entre les époux. Elle comporte un élément subjectif (volonté de vivre séparément) — la volonté d'un seul des époux étant suffisante — et, en règle générale, un élément objectif (visibilité extérieure). La séparation n'entraîne toutefois pas nécessairement la création de domiciles distincts, puisqu'en vertu de l'art. 24 al. 1 CC, toute personne conserve son domicile tant qu'elle ne s'en est pas créé un nouveau (Juge délégué CACI 28 juillet 2011/178).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w:t>
      </w:r>
    </w:p>
    <w:p>
      <w:r>
        <w:rPr>
          <w:b/>
        </w:rPr>
        <w:t>E. 4.1.2</w:t>
      </w:r>
    </w:p>
    <w:p>
      <w:r>
        <w:t>En l’espèce, il ressort clairement de la demande de mesures protectrices de l’union conjugale introduite par l’intimée le 25 mars 2015 que celle-ci entendait à ce moment déjà vivre séparée de l’appelant en raison de difficultés conjugales et que si les époux vivaient encore ensemble, elle souhaitait chercher un nouveau domicile. Dans ces circonstances, c’est à raison que le premier juge a considéré que la séparation des parties, telle que définie par la jurisprudence rappelée ci-dessus, est bel et bien intervenue le 1 er avril 2015. Dans sa réponse du 24 décembre 2015, l’intimée a cependant indiqué qu’elle acceptait, à bien plaire, de renoncer au versement d’une pension pour la période d’avril à juillet 2015, dans la mesure où elle avait trouvé un nouveau logement et pu quitter le domicile conjugal à compter du 1 er août 2015. Il convient de prendre acte de cet acquiescement partiel et de réformer l’ordonnance entreprise dans ce sens.</w:t>
      </w:r>
    </w:p>
    <w:p>
      <w:r>
        <w:rPr>
          <w:b/>
        </w:rPr>
        <w:t>E. 4.2</w:t>
      </w:r>
    </w:p>
    <w:p>
      <w:r>
        <w:t>L’appelant reproche ensuite au premier juge d’avoir appliqué la méthode dite du minimum vital avec répartition de l’excédent par moitié pour fixer le montant de la contribution d’entretien mis à sa charge. Il fait valoir que le couple avait adopté le régime de la séparation des biens et que durant la vie commune chacune des parties avait convenu de prendre en charge ses frais propres et de partager par moitié les charges communes. Partant, il soutient que ce serait le train de vie du couple durant la vie commune qui constituerait la limite supérieure de tout éventuel entretien auquel aurait droit son épouse.</w:t>
      </w:r>
    </w:p>
    <w:p>
      <w:r>
        <w:rPr>
          <w:b/>
        </w:rPr>
        <w:t>E. 4.2.1</w:t>
      </w:r>
    </w:p>
    <w:p>
      <w:r>
        <w:t>Selon l’art. 163 CC, mari et femme contribuent, chacun selon ses facultés, à l’entretien convenable du ménage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En cas de séparation, l’art. 176 CC permet la fixation d’une contribution d’entretien entre époux fondée de manière générale sur l’art. 163 CC également en mesures protectrices de l’union conjugale lorsque l’on ne peut plus sérieusement compter sur la reprise de la vie commune (ATF 137 III 385, consid. 3.1 ; ATF 130 III 537, consid. 3.2). Pour fixer la contribution d'entretien, en application de l'art. 176 al. 1 ch. 1 CC, le juge doit partir de la convention, expresse ou tacite, que les époux ont conclue au sujet de la répartition des tâches et des ressources entre eux. Il doit ensuite prendre en considération qu'en cas de suspension de la vie commune, l’entretien convenable de la famille qui compose le but de l'art. 163 CC impose à chacun des époux le devoir de participer, selon ses facultés, aux frais supplémentaires qu'engendre la vie séparée. Le législateur n’a pas arrêté de mode de calcul de la contribution d’entretien. Le montant de la contribution d'entretien se détermine en fonction des facultés économiques et des besoins respectifs des époux sur la base des revenus à la date du dépôt de la demande. En principe, les époux ont droit à une prise en compte paritaire de leurs besoins. Si la situation financière est serrée, seules les charges correspondant au minimum vital du droit des poursuites sont prises en compte, car seul ce minimum vital doit alors être préservé. Si les ressources du couple dépassent le minimum vital du droit des poursuites, on tient compte aussi des dépenses non strictement nécessaires (Bastons Bulleti, L’entretien après divorce : méthode de calcul, montant, durée et limites, in SJ 2007 II 77). L’une des méthodes préconisée par la doctrine et considérée comme conforme au droit fédéral – en particulier s’agissant de couples ayant un revenu cumulé moyen (jusqu'à 8'000 fr. ou 9'000 fr. par mois) –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JT 2000 I 29) ou que des circonstances importantes ne justifient de s’en écarter (ATF 119 II 314 consid. 4b/bb).</w:t>
      </w:r>
    </w:p>
    <w:p>
      <w:r>
        <w:rPr>
          <w:b/>
        </w:rPr>
        <w:t>E. 4.2.2</w:t>
      </w:r>
    </w:p>
    <w:p>
      <w:r>
        <w:t>En l’espèce, les revenus cumulés des parties s’élèvent à quelques 6'000 fr., de sorte que leur situation financière doit être considérée comme modeste au sens de la jurisprudence exposée ci-dessus, ce que l’appelant admet d’ailleurs lui-même. Partant, seule la méthode du minimum vital élargi entre en ligne de compte, à l’exclusion de la méthode du train de vie dont se prévaut l’appelant. En outre, le régime matrimonial de la séparation de biens adopté par les parties durant le mariage ne joue aucun rôle sur le droit de l'intimée d'obtenir une contribution d'entretien, ces deux questions étant distinctes.</w:t>
      </w:r>
    </w:p>
    <w:p>
      <w:r>
        <w:rPr>
          <w:b/>
        </w:rPr>
        <w:t>E. 5</w:t>
      </w:r>
    </w:p>
    <w:p>
      <w:r>
        <w:t>L’appelant reproche enfin au premier juge d’avoir mal apprécié le budget respectif des parties. S’agissant du budget de l’intimée, il soutient que les subsides de l’assurance maladie auxquels l’intimée pouvait prétendre, pour un montant qu’il estime non inférieur à 115 fr. par mois, auraient dû être pris en considération dans le calcul de ses charges incompressibles alors qu’un montant qu’il évalue à 2'155 fr. 25, aurait dû être intégré dans le revenu mensuel de son épouse au titre de prestations complémentaires AVS. Quant à son propre budget, l’appelant reproche au premier juge de n’avoir pas tenu compte du montant de 500 fr. qu’il verserait mensuellement à sa mère ni de sa charge fiscale.</w:t>
      </w:r>
    </w:p>
    <w:p>
      <w:r>
        <w:rPr>
          <w:b/>
        </w:rPr>
        <w:t>E. 5.1</w:t>
      </w:r>
    </w:p>
    <w:p>
      <w:r>
        <w:t>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Si les moyens des parties sont limités par rapport aux besoins vitaux, il n'y a pas lieu de prendre en considération les impôts courants, qui ne font pas partie des besoins vitaux (ATF 128 III 257 consid. 4a/bb ; ATF 127 III 289 consid. 2a/bb, 126 III 353 consid. 1a/aa), ni les arriérés d'impôts (ATF 140 III 337 consid. 4.4). L'assistance versée à des tiers sur la base d'une simple obligation morale n'entre également pas dans le minimum vital du droit des poursuites (CACI 17 avril 2012/172).</w:t>
      </w:r>
    </w:p>
    <w:p>
      <w:r>
        <w:rPr>
          <w:b/>
        </w:rPr>
        <w:t>E. 5.2</w:t>
      </w:r>
    </w:p>
    <w:p>
      <w:r>
        <w:t>Le revenu déterminant pour la fixation de la contribution d'entretien est le revenu effectif ou effectivement réalisable, soit s'agissant des revenus du travail, le revenu net, cotisations sociales déduites.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w:t>
      </w:r>
    </w:p>
    <w:p>
      <w:r>
        <w:rPr>
          <w:b/>
        </w:rPr>
        <w:t>E. 5.3</w:t>
      </w:r>
    </w:p>
    <w:p>
      <w:r>
        <w:t>En l’espèce, le premier juge a arrêté le revenu mensuel de l’intimée sur la base de ses revenus effectifs. Il a en outre considéré que la dette alimentaire dont se prévalait l’appelant en faveur de sa mère ne pouvait être prise en considération dans le cadre du minimum vital de base faute de reposer sur une obligation légale. Enfin, il a relevé que, compte tenu de la situation économique modeste des parties, il n’y avait pas lieu de prendre en considération la charge fiscale dans leur budget respectif. Cette analyse, conforme à la jurisprudence rappelée ci-dessus, ne prête pas le flanc à la critique et doit être confirmée. En effet, la créance de l’intimée est prioritaire face à une simple obligation morale de l’appelant vis-à-vis de sa mère. Partant, le montant qu’il soutient verser à sa mère ne peut être pris en considération dans les charges incompressibles de l’appelant. Par ailleurs, l’intimée ne bénéficie d’aucun subside pour l’assurance-maladie de sorte qu’il n’y a pas lieu, en l’état, d’en tenir compte dans son budget. Il en va de même de la charge fiscale, au vu des moyens financiers limités des parties. Enfin, il s'avère désormais que l'intimée n'a pas droit à des prestations complémentaires AVS (pièce 2 du bordereau produit le 24 décembre 2015), de sorte qu’on ne peut lui attribuer un montant à ce titre dans ses revenus, contrairement à ce que soutient l’appelant. Cela étant, l'appréciation du premier juge, bien loin d'être arbitraire, se révèle entièrement fondée et doit être confirmée, sous réserve – compte tenu de l’acquiescement partiel de l’intimée – de la période d'avril à juillet 2015.</w:t>
      </w:r>
    </w:p>
    <w:p>
      <w:r>
        <w:rPr>
          <w:b/>
        </w:rPr>
        <w:t>E. 6</w:t>
      </w:r>
    </w:p>
    <w:p>
      <w:r>
        <w:t>L’intimée a sollicité le bénéfice de l’assistance judiciaire pour la procédure d’appel. Aux termes de l’art. 117 CPC, une personne a droit à l’assistance judiciaire si elle ne dispose pas de ressources suffisantes (let. a) et si sa cause ne paraît pas dépourvue de toute chance de succès (let. b). En l’occurrence, l’intimée remplit ces deux conditions cumulatives. Il y a dès lors lieu de lui accorder le bénéfice de l’assistance judiciaire pour la procédure d’appel avec effet au 24 décembre 2015 (art. 118 al. 2 CPC), Me Christophe Piguet étant désigné conseil d’office. En sa qualité de conseil d’office de l’intimée, Me Christophe Piguet, qui n’a pas produit de liste d’opérations dans le délai qui lui avait été imparti à cet effet, a droit à une rémunération équitable pour ses opérations et débours dans la procédure d’appel (art. 122 al. 1 let. a CPC). Au vu de la nature et de la difficulté de la cause, une durée de quatre heures pour l’accomplissement de son mandat paraît adéquate. Il s'ensuit qu'au tarif horaire de 180 fr., l'indemnité de Me Piguet doit être fixée à 720 fr., montant auquel s'ajoutent des débours par 15 fr. et la TVA de 8 % sur le tout par 58 fr. 80, soit à 793 fr. 80 au total.</w:t>
      </w:r>
    </w:p>
    <w:p>
      <w:r>
        <w:rPr>
          <w:b/>
        </w:rPr>
        <w:t>E. 7</w:t>
      </w:r>
    </w:p>
    <w:p>
      <w:r>
        <w:t>En définitive, l’appel est partiellement admis, compte tenu de l’acquiescement partiel de l’intimée quant à l’obligation d’entretien mise à la charge de l’appelant à compter du 1 er août 2015. Le chiffre III de l’ordonnance entreprise doit être modifié dans le sens que A.S.________ contribuera à l’entretien de son épouse par le régulier versement d’un montant de 800 fr. payable d’avance le premier de chaque mois, dès et y compris le 1 er août 2015. L’ordonnance est confirmée pour le surplus. L’appelant est débouté en ce qui concerne ses conclusions principales. S'il obtient gain de cause, s’agissant de sa conclusion subsidiaire relative au dies a quo de son obligation d’entretien vis-à-vis de son épouse, ce n’est qu’après que celle-ci ait accepté de renoncer à toute contribution d’entretien en sa faveur entre les mois d’avril à juillet 2015. Il se justifie par conséquent de répartir les frais judiciaires de deuxième instance, arrêtés à 800 fr. (art. 65 al. 1 TFJC [tarif du 28 septembre 2010 des frais judiciaires civils; RSV 270.11.5]), par quatre cinquièmes à la charge de l'appelant, soit 640 fr., et par un cinquième à la charge de l’intimée, soit 160 francs. L’intimée étant au bénéfice de l’assistance judiciaire, la part des frais judiciaires de deuxième instance mise à sa charge sera temporairement assumée par l’Etat. Outre les frais judiciaires, l’appelant devra verser à l’intimée des dépens de deuxième instance qui seront réduits compte tenu de l’acquiescement partiel de l’intéressée (art. 106 al. 1 CPC). Au vu de l’ampleur du travail et du temps consacré par l’avocat de l’intimée, ces dépens réduits peuvent être arrêtés à 1’200 fr. (art. 3 al. 2 TDC et art. 9 al. 2 TDC).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et art. 4 al. 1 RAJ [règlement sur l’assistance judiciaire en matière civile du 7 décembre 2010 ; RSV 211.02.03]). La bénéficiaire de l'assistance judiciaire est, dans la mesure de l'art. 123 CPC, tenue au remboursement de l'indemnité au conseil d'office mise à la charge de l'Etat. Par ces motifs, le Juge délégué de la Cour d’appel civile du Tribunal cantonal prononce : I. Il est pris acte de l’acquiescement partiel de B.S.________. II. L’appel est rejeté pour le surplus. III. L’ordonnance est réformée au chiffre III de son dispositif comme suit : III. Dit que A.S.________ contribuera à l’entretien de son épouse par le régulier versement d’un montant de 800 fr. (huit cents francs) payable d’avance le premier de chaque mois, dès et y compris le 1 er août 2015. IV. Les frais judiciaires de deuxième instance, arrêtés à 800 fr. (huit cents francs), sont mis par quatre cinquièmes, soit 640 fr. (six cent quarante francs), à la charge de l’appelant A.S.________ et par un cinquième, soit 160 fr. (cent soixante francs), à la charge de B.S.________. V. L’assistance judiciaire est accordée à l’intimée B.S.________ avec effet au 24 décembre 2015 pour la procédure d’appel et Me Christophe Piguet est désigné comme conseil d’office. VI. L’indemnité d’office de Me Christophe Piguet, conseil d’office de l’intimée B.S.________, est arrêtée à 793 fr. 80 (sept cent nonante-trois francs et huitante centimes), TVA et débours inclus. VII. La bénéficiaire de l’assistance judiciaire est, dans la mesure de l’art. 123 CPC, tenue au remboursement de la part des frais judiciaires de deuxième instance et de l’indemnité à son conseil d’office mise à la charge de l’Etat. VIII. L’appelant A.S.________ doit verser à l’intimée B.S.________ la somme de 1'200 fr. (mille deux cents francs), à titre de dépens de deuxième instance. IX. Le présent arrêt est exécutoire. Le Juge délégué : La greffière : Du Le présent arrêt, dont la rédaction a été approuvée à huis clos, est notifié à : ‑ Me Robert Lei Ravello (pour A.S.________), ‑ Me Christophe Piguet (pour B.S.________),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