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140 vom 26. Januar 2016</w:t>
      </w:r>
    </w:p>
    <w:p>
      <w:r>
        <w:t>VD Tribunal cantonal, 2016-01-26, FR</w:t>
      </w:r>
    </w:p>
    <w:p>
      <w:r>
        <w:rPr>
          <w:b/>
        </w:rPr>
        <w:t xml:space="preserve">Quelle: </w:t>
      </w:r>
      <w:r>
        <w:t>https://mcp.opencaselaw.ch/entscheid/vd_findinfo_HC___2016___140</w:t>
      </w:r>
    </w:p>
    <w:p>
      <w:r>
        <w:t>FR: VD_FINDINFO HC / 2016 / 140 du 26 janvier 2016</w:t>
      </w:r>
    </w:p>
    <w:p>
      <w:r>
        <w:t>IT: VD_FINDINFO HC / 2016 / 140 del 26 gennaio 2016</w:t>
      </w:r>
    </w:p>
    <w:p>
      <w:pPr>
        <w:pStyle w:val="Heading2"/>
      </w:pPr>
      <w:r>
        <w:t>Regeste</w:t>
      </w:r>
    </w:p>
    <w:p>
      <w:r>
        <w:t>FOR DE LA POURSUITE, COMPÉTENCE | 85a al. 1 LP</w:t>
      </w:r>
    </w:p>
    <w:p>
      <w:pPr>
        <w:pStyle w:val="Heading2"/>
      </w:pPr>
      <w:r>
        <w:t>Erwägungen</w:t>
      </w:r>
    </w:p>
    <w:p>
      <w:r>
        <w:rPr>
          <w:b/>
        </w:rPr>
        <w:t>E. 1</w:t>
      </w:r>
    </w:p>
    <w:p>
      <w:r>
        <w:t>L'appel est recevable contre les ordonnances de mesures provisionnelles (art. 308 al. 1 let. b CPC [Code de procédure civile suisse du 19 décembre 2008 ; RS 272), dans les causes exclusivement patrimoniales pour autant que la valeur litigieuse soit supérieure à 10'000 fr. (art. 308 al.</w:t>
      </w:r>
    </w:p>
    <w:p>
      <w:r>
        <w:rPr>
          <w:b/>
        </w:rPr>
        <w:t>E. 2</w:t>
      </w:r>
    </w:p>
    <w:p>
      <w:r>
        <w:t>e éd., Berne 2010, n. 175, p. 133). L'action de l'art. 85a al. 1 LP ne peut pas, contrairement à la lettre de cette disposition, être exercée en tout temps, mais uniquement après que l'opposition a été définitivement écartée et jusqu'à la distribution des deniers, respectivement jusqu'à l'ouverture de la faillite (ATF 125 III 149 consid. 2c, JT 1999 II 67 ; Stoffel/Chabloz, op. cit., n. 183, p. 135).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En présence d'une poursuite par voie de saisie, la suspension provisoire peut être ordonnée jusqu'à la distribution des deniers (art. 85a al. 2 ch. 1 LP) ; cela étant, bien que la loi ne mentionne pas cette condition, la suspension provisoire ne doit pas être prononcée avant que le créancier ait obtenu la saisie, car le juge doit laisser la poursuite suivre son cours jusqu'à ce que le poursuivant puisse obtenir une garantie pour sa prétention, afin d'éviter des actions en annulation abusives ou des requêtes en suspension dilatoires (Schmidt, op. cit., n. 8 ad art. 85a LP et les réf. citées).</w:t>
      </w:r>
    </w:p>
    <w:p>
      <w:r>
        <w:rPr>
          <w:b/>
        </w:rPr>
        <w:t>E. 3</w:t>
      </w:r>
    </w:p>
    <w:p>
      <w:r>
        <w:t>En l’espèce, c'est à juste titre que le premier juge a considéré qu'il n'était pas compétent pour traiter la requête de mesures provisionnelles, à savoir prononcer l'effet suspensif concernant l'exécution des poursuites n os [...] et [...] de l'Office des poursuites de Zoug, l'art. 85a LP prévoyant que cette action doit être exercée au for de la poursuite, soit en l'espèce auprès des autorités zougoises. C'est donc à bon droit que les conclusions du requérant ont été déclarées irrecevables.</w:t>
      </w:r>
    </w:p>
    <w:p>
      <w:r>
        <w:rPr>
          <w:b/>
        </w:rPr>
        <w:t>E. 4</w:t>
      </w:r>
    </w:p>
    <w:p>
      <w:r>
        <w:t>En définitive, le recours doit être rejeté, dans la mesure où il est recevable, et la décision entreprise confirmée. La requête d'assistance judiciaire doit également être rejetée, dès lors que le recours était d'emblée dépourvu de toute chance de succès (art. 117 let. b CPC). Les frais judiciaires de deuxième instance, arrêtés à 400 fr. (art. 69 al. 1 TFJC [tarif des frais judiciaires civils du 28 septembre 2010; RSV 270.11.5), sont mis à la charge du recourant qui succombe (art. 106 al. 1 CPC). Par ces motifs, la Chambre des recours civile du Tribunal cantonal, en application de l'art. 322 al. 1 CPC, prononce : I. Le recours est rejeté, dans la mesure de sa recevabilité. II. La requête d’assistance judiciaire est rejetée. III. La décision est confirmée. IV. Les frais judiciaires de deuxième instance, arrêtés à 400 fr. (quatre cents francs), sont mis à la charge du recourant A.G.________. V. L’arrêt motivé est exécutoire. Le président :               La greffière : Du 26 janvier 2015 Le dispositif de l'arrêt qui précède est communiqué par écrit aux intéressés. La greffière : Du L'arrêt qui précède, dont la rédaction a été approuvée à huis clos, est notifié en expédition complète, par l'envoi de photocopies, à : ‑ M. A.G.________.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