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118 vom 25. Januar 2016</w:t>
      </w:r>
    </w:p>
    <w:p>
      <w:r>
        <w:t>VD Tribunal cantonal, 2016-01-25, FR</w:t>
      </w:r>
    </w:p>
    <w:p>
      <w:r>
        <w:rPr>
          <w:b/>
        </w:rPr>
        <w:t xml:space="preserve">Quelle: </w:t>
      </w:r>
      <w:r>
        <w:t>https://mcp.opencaselaw.ch/entscheid/vd_findinfo_HC___2016___118</w:t>
      </w:r>
    </w:p>
    <w:p>
      <w:r>
        <w:t>FR: VD_FINDINFO HC / 2016 / 118 du 25 janvier 2016</w:t>
      </w:r>
    </w:p>
    <w:p>
      <w:r>
        <w:t>IT: VD_FINDINFO HC / 2016 / 118 del 25 gennaio 2016</w:t>
      </w:r>
    </w:p>
    <w:p>
      <w:pPr>
        <w:pStyle w:val="Heading2"/>
      </w:pPr>
      <w:r>
        <w:t>Regeste</w:t>
      </w:r>
    </w:p>
    <w:p>
      <w:r>
        <w:t>OBLIGATION D'ENTRETIEN, CONJOINT, ENFANT, MESURE PROVISIONNELLE, APPRÉCIATION DES PREUVES | 176 al. 1 ch. 1 CC, 276 al. 1 CPC (CH), 308 al. 1 let. b CPC (CH), 308 al. 2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celle-ci, non l'enjeu de l'appel (Tappy, Les voies de droit du nouveau Code de procédure civile, JdT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 En l’espèce, l’appelant a produit trois déclarations de [...], à [...], [...], à [...] et [...], également à [...], datées respectivement du 1 er décembre 2015 pour les deux premières et du 3 décembre 2015 pour la troisième, attestant, en substance, que, depuis la séparation des parties, les prénommés aidaient financièrement leur frère A.S.________ par des virements et la remise de sommes en espèce depuis la séparation des parties. Les moyens de preuve énumérés à l’art. 168 CPC sont exhaustifs. Le témoignage écrit n’est en principe pas admis comme moyen de preuve au sens de cette disposition (TF 5A_957/2012 du 28 mai 2013 consid. 2). Cela suffirait déjà pour considérer les pièces produites comme irrecevables. Par ailleurs, l’appelant n’indique pas en quoi il aurait été empêché de produire ces pièces en première instance, alors même qu’il alléguait déjà devant l’autorité précédente qu’il n’était en mesure de verser la contribution due pour l’entretien des siens que grâce au soutien financier de sa famille et qu’un délai lui avait été imparti par le premier juge pour déposer des pièces dans le cadre de l’instruction de sa requête provisionnelle en modification de la contribution d’entretien. A supposer recevables, ces pièces seraient quoi qu’il en soit sans pertinence sur le sort de la cause, compte tenu de ce qui va suivre. Il en va de même en ce qui concerne les mesures d’instruction requises par l’appelant, à savoir l’audition en qualité de témoin d’un ou plusieurs de ses frères, l’appelant ne démontrant pas avoir été empêché de requérir les moyens de preuve nouveaux devant la juridiction précédente. Ces derniers sont de toute manière irrelevants, vu l’issue du litige.</w:t>
      </w:r>
    </w:p>
    <w:p>
      <w:r>
        <w:rPr>
          <w:b/>
        </w:rPr>
        <w:t>E. 2.3</w:t>
      </w:r>
    </w:p>
    <w:p>
      <w:r>
        <w:t>En vertu de l’art. 276 al. 1 CPC, les dispositions régissant la protection de l’union conjugale (art. 271 ss CPC) sont applicables par analogie aux mesures provisionnelles. Dans le cadre de mesures provisionnelles, ou de mesure protectrices,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TF 5A_508/2011 du 21 novembre 2011 consid. 1.3).</w:t>
      </w:r>
    </w:p>
    <w:p>
      <w:r>
        <w:rPr>
          <w:b/>
        </w:rPr>
        <w:t>E. 3.1</w:t>
      </w:r>
    </w:p>
    <w:p>
      <w:r>
        <w:t>L’appelant, qui admet réaliser un revenu mensuel moyen de l’ordre de 4'856 fr. 45 en ce qui concerne son activité professionnelle, soutient que les montants versés en espèces sur les bancomats de [...], [...], [...], [...] et [...] et crédités sur son compte [...] à hauteur de 168'333 fr. 10, ne doivent pas être considérés comme des revenus professionnels. Il conteste l’analyse du premier juge en tant que celui-ci admet l’aide familiale exclusivement dans la mesure où elle a été versée par virements bancaires directs de [...], se montant respectivement à 36'492 fr. 75 et 35'909 fr. 46, et soutient que les autres montants versés de main à main puis crédités sur son compte bancaire par le biais de versements en espèces effectués aux bancomats précités correspondent également à un soutien financier de sa famille. Il se prévaut à cet égard des décisions de taxation de l’autorité fiscale, qui a retenu en ce qui le concerne, pour 2012, un montant de 25'400 fr. à titre de revenu provenant de son activité indépendante principale et des pensions alimentaires payées à hauteur de 63'300 fr. et, pour 2013, un montant de 62'796 fr. à titre de revenu provenant de son activité indépendante principale et des pensions alimentaires payées à hauteur de 63'300 francs.</w:t>
      </w:r>
    </w:p>
    <w:p>
      <w:r>
        <w:rPr>
          <w:b/>
        </w:rPr>
        <w:t>E. 3.2</w:t>
      </w:r>
    </w:p>
    <w:p>
      <w:r>
        <w:t>Le juge fixe la contribution pécuniaire à verser provisionnellement par l’une des parties à l’autre selon l’art. 176 al. 1 ch. 1 CC, applicable par renvoi de l’art. 276 al. 1 CPC. Le revenu déterminant pour la fixation de la contribution d'entretien est le revenu effectif ou effectivement réalisable, soit s'agissant des revenus du travail, le revenu net, cotisations sociales déduites.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5A_246/2009 du 22 mars 2010 consid. 3.1, FamPra.ch. 2010 p. 678 ; TF 5P_342/2001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w:t>
      </w:r>
    </w:p>
    <w:p>
      <w:r>
        <w:rPr>
          <w:b/>
        </w:rPr>
        <w:t>E. 3.3</w:t>
      </w:r>
    </w:p>
    <w:p>
      <w:r>
        <w:t>Le premier juge a constaté que du 1 er janvier 2013 au 27 mai 2015, le compte personnel [...] de l’appelant avait été crédité de divers versements, totalisant un montant de 322'407 fr. 92. Certains de ces montants constituaient manifestement des honoraires touchés par l’appelant dans le cadre de son activité professionnelle (2'903 fr. 21 le 15 février 2013, 12'090 fr. 85 le 26 avril 2013, 4'866 fr. 12 le 31 mai 2013, 7'288 fr. 23 le 11 juin 2013, 10'845 fr. 19 le 24 janvier 2014, 875 fr. le 28 mars 2014 et 28'961 fr. 01 le 9 juillet 2014 = 67'829 fr. 61). Les montants de 36'492 fr. 75, perçus le 28 juin 2013, et de 35'909 fr. 46, perçus le 25 juillet 2014, étaient des sommes versées par un membre de la famille de l’appelant à titre d’aide financière. Le montant de 12'843 fr. perçu le 10 février 2015 correspondait au solde d’un compte français que l’appelant avait clôturé. L’origine des fonds versés aux bancomats de [...], [...], [...], [...] et [...], totalisant un montant de 168'333 fr. 10 (recte : 169'333 fr .10), n’était en revanche ni connue ni déterminable, le requérant n’ayant en tout cas pas apporté la preuve qu’il s’agissait de sommes octroyées par sa famille pour faire face à ses obligations alimentaires. A défait d’indication contraire, il convenait donc d’ajouter ces montants aux revenus du requérant et de les prendre en considération pour le calcul de la contribution d’entretien. La somme de 168'333 fr. 10 ayant été perçue en l’espace de vingt-neuf mois, il y avait ainsi lieu de considérer que le requérant avait perçu en moyenne un montant de 5'804 fr. 60 par mois en plus de son revenu d’indépendant.</w:t>
      </w:r>
    </w:p>
    <w:p>
      <w:r>
        <w:rPr>
          <w:b/>
        </w:rPr>
        <w:t>E. 3.4</w:t>
      </w:r>
    </w:p>
    <w:p>
      <w:r>
        <w:t>En l’espèce, il ressort des témoignages écrits des frères de l’appelant que l’aide financière apportée par ces derniers se monterait annuellement à 35'000 euros par année pour [...], 30'000 euros pour [...] (150'000 : 5) et qu’elle se situerait entre 30'000 et 50'000 euros en ce qui concerne [...], les versements reconnus par le premier juge en ce qui concerne l’aide apportée par ce dernier se montant à deux virements bancaires de 30'000 euros chacun effectués les 28 juin 2013 et le 25 juillet 2014. En retenant un soutien financier de 50'000 euros pour ce dernier, c’est donc un montant de l’ordre de 115'000 euros par année que l’appelant aurait touché à titre de prétendues aides familiales, dont 85'000 euros (115'000 – 30'000) versés en espèces, correspondant à un montant de 205'417 euros sur vingt-neuf mois (85'000 : 12 x 29). On est donc bien loin du montant de 168'333 fr. 10 précité, cet écart rendant les témoignages précités, à supposer recevables, peu vraisemblables et n’emportant pas la conviction de l’autorité d’appel que ces versements en espèces – d’origine inconnue – seraient imputables à des aides financières familiales. Par ailleurs un versement annuel de 115'000 euros de la part des trois frères représenterait une somme de 9'583 euros par mois, ce qui dépasserait très largement le montant de 5'300 fr. correspondant à la contribution d’entretien due, laissant ainsi à disposition de l’appelant un disponible de quelque 4'283 fr. par mois (9'583 – 5'300, en retenant pour les besoins de la démonstration un taux de change de 1 euro = 1 CHF), qui viendrait s’ajouter à son revenu mensuel moyen de 4'856 fr. 45. L’appelant alléguant que ses frères lui seraient venus en aide depuis sa séparation pour lui permettre de subvenir à ses besoins et à ceux de sa famille, il paraît étonnant que ces derniers aient procédé à des versements excédant manifestement les besoins de l’appelant, rendant les allégations de ce dernier et les témoignages de ses frères, à supposer recevables, guère vraisemblables. La même réflexion s’impose en prenant en compte le montant de 5'804 fr. 60, correspondant à la moyenne mensuelle des versements d’origine inconnue crédités sur le compte bancaire de l’appelant (168'333 fr. 10 : 29 mois), plus celui de 3'017 fr., correspondant à la même moyenne des versements effectués en 2013 et 2014 par [...] sur ce compte (36'492 fr. + 35'909 fr. 46 : 24 mois). L’aide accordée par la famille de l’appelant se monterait ainsi à 8'821 fr. 60 (5'804.60 + 3'017) par mois, montant dépassant largement celui de 5'300 fr. nécessaire pour payer l’entier de la contribution d’entretien. Dans ces circonstances, on ne saurait retenir que les moyens de preuve offerts par l’appelant, à supposer recevables, rendent plausible que les fonds d’origine inconnue auraient été versés par la famille de l’appelant à titre d’aide financière. Il y a donc lieu de confirmer le raisonnement du premier juge, qui n’a pas retenu la somme litigieuse de 168'333 fr. 10 à titre d’aide familiale, cela indépendamment de toute autre considération, notamment fiscale, l’appelant n’ayant pas rendu vraisemblable que cette somme, dépassant largement le montant de la contribution due, lui était versée à titre d’aide familiale en vue de subvenir aux besoins des siens. Au surplus, le premier juge était fondé à statuer sur la base des pièces immédiatement disponibles, soit les comptes produits et examinés, l’erreur de 1'000 fr. dans l’addition des montants versés au bancomat (169'333 fr. 10 au lieu de 168'333 fr. 10), équivalant à 34 fr. 40 par mois (1'000 : 29), ne justifiant par ailleurs pas – vu son faible impact sur l’estimation du revenu mensuel de l’appelant – une modification du montant de la contribution d’entretien fixée par le premier juge. Enfin et par surabondance, quand bien même l’on devait admettre que les fonds litigieux étaient attribués à titre d’aide financière de la famille, il ne serait pas exclu de considérer que cette aide financière substantielle de 115'000 euros par année, qui dépasse largement le montant annuel de la contribution alimentaire due et qui apparaît comme étant versée régulièrement depuis quatre à cinq ans, comme un revenu accessoire de l’appelant, à tout le moins tant que ces versements réguliers et substantiels n’auraient pas cessé. Or, à ce stade, ni l’examen des comptes bancaires ni les témoignages produits – pour autant que recevables – ne permettraient d’ignorer cette prétendue aide financière.</w:t>
      </w:r>
    </w:p>
    <w:p>
      <w:r>
        <w:rPr>
          <w:b/>
        </w:rPr>
        <w:t>E. 4</w:t>
      </w:r>
    </w:p>
    <w:p>
      <w:r>
        <w:t>En définitive, l’appel, manifestement infondé, doit être rejeté selon le mode procédural de l’art. 312 al. 1 CPC et l’ordonnance de mesures provisionnelles confirmée. L’appel s’avérant dénué de toute chance de succès (art. 117 let. b et 119 al. 3 CPC), la requête d’assistance judiciaire de l’appelant sera rejetée. Les frais judiciaires de deuxième instance, arrêtés à 600 fr. (art. 65 al. 2 TFJC [tarif des frais judiciaires civils du 28 septembre 2010 ; RSV 270.11.5) seront mis à la charge de l’appelant, qui succombe (art. 106 al. 1 CPC). Au surplus, il n’y a pas lieu à l’allocation de dépens de deuxième instance, l’intimée n’ayant pas été invitée à se déterminer. Par ces motifs, la juge déléguée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 A.S.________. V. L’arrêt motivé est exécutoire. La juge déléguée : Le greffier : Du 26 janvier 2016 Le dispositif de l'arrêt qui précède est communiqué par écrit aux intéressés. Le greffier : Du L'arrêt qui précède, dont la rédaction a été approuvée à huis clos, est notifié en expédition complète, par l'envoi de photocopies, à : ‑ Me Violaine Jaccottet Sherif (pour A.S.________), ‑ Me Dominique-Anne Kirchhofer (pour B.S.________).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