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113 vom 22. Januar 2016</w:t>
      </w:r>
    </w:p>
    <w:p>
      <w:r>
        <w:t>VD Tribunal cantonal, 2016-01-22, FR</w:t>
      </w:r>
    </w:p>
    <w:p>
      <w:r>
        <w:rPr>
          <w:b/>
        </w:rPr>
        <w:t xml:space="preserve">Quelle: </w:t>
      </w:r>
      <w:r>
        <w:t>https://mcp.opencaselaw.ch/entscheid/vd_findinfo_HC___2016___113</w:t>
      </w:r>
    </w:p>
    <w:p>
      <w:r>
        <w:t>FR: VD_FINDINFO HC / 2016 / 113 du 22 janvier 2016</w:t>
      </w:r>
    </w:p>
    <w:p>
      <w:r>
        <w:t>IT: VD_FINDINFO HC / 2016 / 113 del 22 gennaio 2016</w:t>
      </w:r>
    </w:p>
    <w:p>
      <w:pPr>
        <w:pStyle w:val="Heading2"/>
      </w:pPr>
      <w:r>
        <w:t>Regeste</w:t>
      </w:r>
    </w:p>
    <w:p>
      <w:r>
        <w:t>FRAIS JUDICIAIRES, DÉPENS, DÉCISION DE RENVOI, LOI SUR LE TRIBUNAL FÉDÉRAL | 92 CPC, 68 al. 5 LTF, 106 al. 1 CPC (CH), 404 al. 1 CPC (CH), 95 CPC (CH)</w:t>
      </w:r>
    </w:p>
    <w:p>
      <w:pPr>
        <w:pStyle w:val="Heading2"/>
      </w:pPr>
      <w:r>
        <w:t>Erwägungen</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 TF 5A_ 561/2011 du 19 mars 2012 consid. 4.1). L’art 67 LTF permet au Tribunal fédéral de répartir autrement les frais de la procédure antérieure s’il modifie la décision attaquée, tandis que selon l’art. 68 al.</w:t>
      </w:r>
    </w:p>
    <w:p>
      <w:r>
        <w:rPr>
          <w:b/>
        </w:rPr>
        <w:t>E. 1.2</w:t>
      </w:r>
    </w:p>
    <w:p>
      <w:r>
        <w:t>En l’espèce, le Tribunal fédéral a définitivement tranché les questions de fond, décision qui lie la cour de céans, et lui a renvoyé la cause pour statuer à nouveau sur les frais et dépens des instances cantonales. 2. 2.1. Demeurant applicable à la procédure de première instance en vertu de l’art. 404 al. 1 CPC (Code de procédure civile du 19 décembre 2008 ; RS 272) entré en vigueur le 1 er janvier 2011, l’art. 92 CPC-VD (Code de procédure civile du canton de Vaud du 14 décembre 1966) prévoit que les dépens, qui comprennent les frais et émoluments de l’office, les frais de vacation des parties et les honoraires et déboursés de mandataire et d’avocat (art. 91 CPC-VD), sont alloués à la partie qui a obtenu l’adjudication de ses conclusions (al. 1) ; lorsqu’aucune des parties n’obtient entièrement gain de cause, le juge peut réduire les dépens ou les compenser (al. 2) ; la partie victorieuse ne peut être condamnée aux dépens que si elle a abusivement prolongé ou compliqué le procès (al. 3). En l’espèce, les frais de justice de première instance, arrêtés à 104'546 fr. 40 pour la demanderesse et à 42'541 fr. 05 pour la défenderesse, peuvent être confirmés. Dès lors que la défenderesse obtient finalement gain de cause, elle a droit à des dépens, à la charge de la demanderesse, qui seront arrêtés à 95'041 fr. 05, à savoir 50'000 fr. à titre de participation aux honoraires de son conseil, 2'500 fr. pour les débours de celui-ci et 42'541 fr. 05 en remboursement de son coupon de justice (cf. consid. VI b du jugement de la Cour civile du Tribunal cantonal du 6 septembre 2013). 2.2 A teneur de l’art. 106 al. 1 CPC (Code de procédure civile du 19 décembre 2008 ; RS 272), applicable en deuxième instance (art. 405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chacun devant ainsi supporter les frais de partie – à savoir les dépens au sens de l’art. 95 al. 3 CPC – dans la mesure où il succombe. Les frais judiciaires de deuxième instance cantonale, fixés à 23'284 fr. en application de l’art. 62 al. 1 TFJC (tarif des frais judiciaires civils du 28 septembre  2010 ; RSV 270.11.5), peuvent être également confirmés. Vu l’issue du litige, ces frais seront mis à la charge de l’appelante, qui succombe ; ils seront compensés avec l’avance de frais versée par cette dernière (art. 111 al. 1 CPC). L’appelante versera en outre à l’intimée des dépens qui seront fixés, conformément aux conclusions de l’intimée, à 14'000 francs. 3. Selon l'art. 5 al. 1  TFJC, pour le jugement d'une cause renvoyée ensuite d'un arrêt du Tribunal fédéral, il n'est pas perçu de nouvel émolument forfaitaire de décision.</w:t>
      </w:r>
    </w:p>
    <w:p>
      <w:r>
        <w:rPr>
          <w:b/>
        </w:rPr>
        <w:t>E. 5</w:t>
      </w:r>
    </w:p>
    <w:p>
      <w:r>
        <w:t>LTF, le Tribunal fédéral peut laisser à l'autorité précédente le soin de fixer les dépens d'après le tarif fédéral ou cantonal 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