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1055 vom 25. Oktober 2016</w:t>
      </w:r>
    </w:p>
    <w:p>
      <w:r>
        <w:t>VD Tribunal cantonal, 2016-10-25, FR</w:t>
      </w:r>
    </w:p>
    <w:p>
      <w:r>
        <w:rPr>
          <w:b/>
        </w:rPr>
        <w:t xml:space="preserve">Quelle: </w:t>
      </w:r>
      <w:r>
        <w:t>https://mcp.opencaselaw.ch/entscheid/vd_findinfo_HC___2016___1055</w:t>
      </w:r>
    </w:p>
    <w:p>
      <w:r>
        <w:t>FR: VD_FINDINFO HC / 2016 / 1055 du 25 octobre 2016</w:t>
      </w:r>
    </w:p>
    <w:p>
      <w:r>
        <w:t>IT: VD_FINDINFO HC / 2016 / 1055 del 25 ottobre 2016</w:t>
      </w:r>
    </w:p>
    <w:p>
      <w:pPr>
        <w:pStyle w:val="Heading2"/>
      </w:pPr>
      <w:r>
        <w:t>Regeste</w:t>
      </w:r>
    </w:p>
    <w:p>
      <w:r>
        <w:t>CONTRAT D'ASSURANCE, LOI FÉDÉRALE SUR LE CONTRAT D'ASSURANCE, FARDEAU DE LA PREUVE | 8 CC, 39 LCA, 40 LCA</w:t>
      </w:r>
    </w:p>
    <w:p>
      <w:pPr>
        <w:pStyle w:val="Heading2"/>
      </w:pPr>
      <w:r>
        <w:t>Erwägungen</w:t>
      </w:r>
    </w:p>
    <w:p>
      <w:r>
        <w:rPr>
          <w:b/>
        </w:rPr>
        <w:t>E. 1.1</w:t>
      </w:r>
    </w:p>
    <w:p>
      <w:r>
        <w:t>L’appel est recevable contre les décisions finales de première instance (art. 308 al. 1 let. a CPC [Code de procédure civile suisse du 19 décembre 2008, RS 272]), dans les causes patrimoniales dont la valeur litigieuse au dernier état des conclusions devant l’autorité inférieure est de 10'000 fr. au moins (art. 308 al. 2 CPC). L’appel, écrit et motivé, doit être introduit auprès de l’instance d’appel, soit de la Cour d’appel civile (art. 84 al. 1 LOJV [loi vaudoise du 12 septembre 1979 d'organisation judiciaire ; RSV 173.01]), dans les trente jours à compter de la notification de la décision ou de la notification postérieure de la motivation (art. 311 al. 1 CPC). Formé en temps utile compte tenu des féries (art. 145 al. 1 let. b CPC), par une partie qui y a intérêt (art. 59 al. 2 let. a CPC) et portant sur des conclusions supérieures à 10’000 fr., l’appel est recevable.</w:t>
      </w:r>
    </w:p>
    <w:p>
      <w:r>
        <w:rPr>
          <w:b/>
        </w:rPr>
        <w:t>E. 1.2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w:t>
      </w:r>
    </w:p>
    <w:p>
      <w:r>
        <w:rPr>
          <w:b/>
        </w:rPr>
        <w:t>E. 2</w:t>
      </w:r>
    </w:p>
    <w:p>
      <w:r>
        <w:t>ss ad art. 310 CPC). Elle peut revoir librement la constatation des faits sur la base des preuves administrées en première instance et parvenir à des constatations de fait différentes de celles de l’autorité de première instance (TF 4A_748/2012 du 3 juin 2013 consid. 2.1 ; Jeandin, op. cit., n. 6 ad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(jurisprudence constante de la Cour de céans, notamment CACI 1 er septembre 2016/488 consid. 2; CACI 9 octobre 2015/537 consid. 2a).</w:t>
      </w:r>
    </w:p>
    <w:p>
      <w:r>
        <w:rPr>
          <w:b/>
        </w:rPr>
        <w:t>E. 2.1</w:t>
      </w:r>
    </w:p>
    <w:p>
      <w:r>
        <w:t>En application de l'art. 39 LCA, l'assuré est tenu de satisfaire aux demandes de renseignements formulées par l'assureur après l'annonce du cas de sinistre, en vue de déterminer, en sus de la survenance du sinistre en tant que telle, si les prétentions sont justifiées ou non. L'art. 39 LCA ne dit rien des conséquences d'un défaut de renseignement malgré les demandes correspondantes de l'assureur, mais les art. 40 et 41 LCA envisagent deux hypothèses : lorsque l'absence de renseignements correspond à une manoeuvre dolosive, ses conséquences sont appréhendées sous l'angle de l'art. 40 LCA. En l'absence de dol, l'art. 41 LCA prévoit que les prestations ne sont exigibles de l'assureur qu'à l'issue d'un délai de quatre semaines après réception par l'assureur des renseignements exigés de l'ayant-droit, la sanction indirecte de l'art. 39 LCA résidant donc dans l'inexigibilité des prestations d'assurance. Le contrat d'assurance peut prévoir des sanctions supplémentaires comme la déchéance pure et simple du droit aux prestations. En ce cas, l'assureur est tenu de respecter certaines formalités, à savoir donner par écrit un délai suffisant pour s'exécuter, la sommation devant également mettre en garde l'ayant droit contre les conséquences de son retard (cf. Bruhlart, Droit des assurances privées, 2008, nn. 589 ss, pp. 270ss).</w:t>
      </w:r>
    </w:p>
    <w:p>
      <w:r>
        <w:rPr>
          <w:b/>
        </w:rPr>
        <w:t>E. 2.2</w:t>
      </w:r>
    </w:p>
    <w:p>
      <w:r>
        <w:t>Aux termes de l'art. 40 LCA,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LCA, l'assureur n'est pas lié par le contrat envers l'ayant droit (ATF 131 III 314 consid. 2.1). Cette disposition règle les agissements « frauduleux » de l'assuré en cas de sinistre, agissements qui peuvent conduire non seulement à la perte du droit aux prestations de l'assurance pour le sinistre en question, mais aussi à la résiliation du contrat d'assurance par la compagnie d'assurance. Elle implique la réunion de deux conditions : l'une objective, soit une déclaration inexacte ou une dissimulation qui peut influer sur l'octroi et le montant des prestations à verser par l'assureur, l'autre subjective, soit l'intention d'induire en erreur, même si celle-ci n'a pas abouti à l'offre d'une prestation indue. La preuve de l'intention frauduleuse et de l'inexactitude des faits révélés incombe à l'assureur (cf. Brulhart, op. cit., 2008, n. 651, pp. 301-302). Pour qu'il y ait déclaration ou dissimulation frauduleuse de renseignements, il faut obligatoirement que les faits inexactement déclarés ou dissimulés soient tels qu'ils auraient exclu ou restreint l'obligation de l'assureur s'ils avaient été déclarés exactement ou s'ils n'avaient pas été dissimulés. De ce fait, l'art. 40 LCA n'est pertinent que dans la mesure où la déclaration inexacte ou la dissimulation peut influer sur l'existence ou sur le montant de la prestation à verser par l'assureur (Kuhn et Montavon, Droit des assurances privées, 1994, pp. 177-178). Autrement dit, il faut que sur la base d'une déclaration correcte des faits en question, l'assureur n'ait à verser qu'une prestation moindre ou même aucune prestation (Nef, in Basler Kommentar, Bundesgesetz über den Versicherungsvertrag, 2001, n. 16 ad art. 40 LCA). Le cas le plus fréquent en pratique est celui où l'ayant droit déclare un dommage plus étendu qu'en réalité, notamment en donnant des indications trop élevées sur le prix d'acquisition de la chose assurée (Nef, op. cit., nn. 22 et 60 ad art. 40 LCA ; Brühlart, op. cit., n. 651, p. 301). Au regard de la loi, la dissimulation de renseignements est tout aussi frauduleuse que la déclaration inexacte de renseignements. Dans les deux cas, l'objectif visé doit tendre à induire l'assureur en erreur (Bruhlart, ibidem). Pour que l'ensemble des faits composant la situation décrite à l'art. 40 LCA soient réunis, encore faut-il que l'ayant droit ou son représentant ait agi dans le but d'induire l'assureur en erreur. Cependant, pour que la prétention soit qualifiée de frauduleuse, il suffit que l'ayant droit ou son représentant ait agi dans cet esprit. Le fait que la fraude ait réussi, que l'assureur ait subi de ce fait un dommage économique, ou encore que la fraude se rapporte à une partie seulement du dommage, n'est pas topique (TF 5C.11/2002 du 11 avril 2002 consid. 2a/bb, in JdT 2002 I 531; Nef, op. cit., nn. 17, 24 et 47 ad art. 40 LCA). La seule attitude de celui qui agit en vue d'induire l'assureur en erreur par l'emploi d'une stratégie appropriée suffit pour produire les effets énoncés à l'art. 40 LCA, même si cela s'est soldé par un échec (et quelles qu'en soient les raisons). Les conséquences de l'acte frauduleux s'appliquent même dans le cas où l'assureur avait connaissance des faits réels (CACI 27 septembre 2011/289 consid. 3b).</w:t>
      </w:r>
    </w:p>
    <w:p>
      <w:r>
        <w:rPr>
          <w:b/>
        </w:rPr>
        <w:t>E. 2.3</w:t>
      </w:r>
    </w:p>
    <w:p>
      <w:r>
        <w:t>C'est à l'assuré qu'il revient de prouver le dommage dont il réclame l'indemnisation. Dans ce contexte, à défaut d'autres éléments, la somme assurée peut servir de point de départ au calcul du dommage, et constituer un indice, voire une présomption. De ce fait, il appartient à l'assureur de prouver que la valeur de l'objet était inférieure à la somme assurée, le juge statuant ex aequo et bono en tenant compte de toutes les circonstances. Appréciant librement les preuves, il peut considérer la somme assurée comme un indice suffisant de la valeur objective des objets assurés, mais sans perdre de vue l'interdiction de l'enrichissement – ou principe indemnitaire, impliquant que l'assurance de chose ne doit pas être une source de bénéfice, mais uniquement indemniser un dommage – posée par l'art. 62 LCA (Bruhlart, op. cit., n. 676, p. 312). Le Tribunal fédéral a rappelé, en la matière (cf. notamment TF 4A_431/2010 du 17 novembre 2010, consid. 2.4 et les réf. cit.), que selon l'art. 8 CC, le demandeur doit prouver les faits qui fondent sa prétention, tandis que sa partie adverse doit prouver les faits qui entraînent l'extinction ou la perte du droit. Ces principes, qui sont également applicables dans le domaine du contrat d'assurance, impliquent qu'il incombe à l'ayant droit d'alléguer et de prouver notamment la survenance du sinistre. Cette preuve étant par nature difficile à apporter, l'exigence de preuve est réduite et il suffit que l'ayant droit établisse une vraisemblance prépondérante, qui ne doit pas être confondue avec une simple vraisemblance. L'art. 8 CC donne à l'assureur le droit à la contre-preuve et il peut donc apporter des éléments propres à créer un doute et à ébranler la vraisemblance que l'ayant droit s'efforce d'établir (TF 4A_671/2010 du 25 mars 2011 consid. 2.6 et les réf. cit.). Le juge doit procéder à une appréciation d'ensemble des éléments qui lui sont apportés et dire s'il retient qu'une vraisemblance prépondérante a été établie.</w:t>
      </w:r>
    </w:p>
    <w:p>
      <w:r>
        <w:rPr>
          <w:b/>
        </w:rPr>
        <w:t>E. 3</w:t>
      </w:r>
    </w:p>
    <w:p>
      <w:r>
        <w:t>Dans une argumentation confuse, l’appelante se plaint de ce que l’état de fait inexact et lacunaire, respectivement l’appréciation incorrecte des preuves administrées, aurait conduit les premiers juges à violer le droit, en particulier les art. 39 et art. 40 LCA en lien avec l’art. 8 CC (Code civil suisse du 10 décembre 1907 ; RS 210).</w:t>
      </w:r>
    </w:p>
    <w:p>
      <w:r>
        <w:rPr>
          <w:b/>
        </w:rPr>
        <w:t>E. 3.1.1</w:t>
      </w:r>
    </w:p>
    <w:p>
      <w:r>
        <w:t>L’appelante fait tout d’abord valoir que le véhicule litigieux, à savoir la Mercedez-Benz CLS 320 CDI, matricule n° [...], était en réalité le véhicule privé de A.T.________, dès lors que la société F.________ n'avait pas encore eu d'activité au moment du sinistre, que le véhicule en question ne figurait pas dans la comptabilité de cette dernière et qu’il avait été financé par le père de la prénommée.</w:t>
      </w:r>
    </w:p>
    <w:p>
      <w:r>
        <w:rPr>
          <w:b/>
        </w:rPr>
        <w:t>E. 3.1.2</w:t>
      </w:r>
    </w:p>
    <w:p>
      <w:r>
        <w:t>Les premiers juges ont en particulier retenu qu'au regard du permis de circulation délivré le 28 février 2013 par le Service des automobiles et de la navigation d'Aigle, la société demanderesse avait démontré que le véhicule litigieux lui avait effectivement appartenu.</w:t>
      </w:r>
    </w:p>
    <w:p>
      <w:r>
        <w:rPr>
          <w:b/>
        </w:rPr>
        <w:t>E. 3.1.3</w:t>
      </w:r>
    </w:p>
    <w:p>
      <w:r>
        <w:t>Les notions de propriétaire du véhicule et de détenteur au sens de la LCR (loi fédérale sur la circulation routière du 19 décembre 1958 ; RS 741.01) ne se confondent pas (cf. ATF 129 III 102 consid. 2.1 et 2.2, JT 2003 I 500; ATF 117 II 609 consid. 3b, JT 1992 I 730; ATF 101 II 133 consid. 3a, JdT 1975 I 446; CACI du 24 juin 2016/370 consid. 3.2.1). Dès lors, contrairement à l'opinion exprimée par les premiers juges, le fait que la société F.________ serait la détentrice du véhicule, dès lors qu’elle figure sur le permis de circulation (carte grise), n'est pas déterminant sous l'angle du droit de propriété sur ce véhicule. Cela étant, le contrat de vente du véhicule du 25 février 2013 a formellement engagé B.T.________, en qualité de vendeur, et la société F.________, représentée par A.T.________, en qualité d'acheteuse. La circonstance que le versement du prix d’acquisition ait été le fait d'un tiers n'est pas déterminante, le contrat de vente mobilière n'étant pas soumis à la condition que le prix soit versé au moyen du patrimoine de l'acheteur (art. 184 al. 1 CO [Code des obligations du 30 hmars 1911 ; RS 220] a contrario ). Tout au plus le fait que le véhicule n'apparaisse pas dans la comptabilité de F.________, de même que les déclarations de A.T.________ – entendue en qualité de représentante de la société demanderesse aux débats du 25 janvier 2016 – sur le financement de cette acquisition par son propre père et l'usage personnel du véhicule qu'elle entendait en faire, tendent-ils à démontrer que le véhicule n'a pas été acquis par la société F.________ pour un usage dans le cadre de son activité sociale et/ou commerciale, mais en vue d'un usage personnel par A.T.________. Quoi qu'il en soit, l'usage envisagé du véhicule n'influe pas sur le droit de propriété sur celui-ci, de sorte que l'état de fait du jugement attaqué doit être précisé uniquement dans la mesure de ce qui précède.</w:t>
      </w:r>
    </w:p>
    <w:p>
      <w:r>
        <w:rPr>
          <w:b/>
        </w:rPr>
        <w:t>E. 3.1.4</w:t>
      </w:r>
    </w:p>
    <w:p>
      <w:r>
        <w:t>A cet égard, l'argumentation de l'appelante n'a de pertinence que sous l'angle de la critique formulée à l'encontre de l'appréciation par les premiers juges des conditions d'application de l'art. 40 LCA dans le cas d'espèce. Or l'appelante ne dit pas en quoi l'argument selon lequel le véhicule ne serait pas propriété de la société F.________, mais de A.T.________, serait de nature à influer sur le sort du litige. Dans ses écritures, l'appelante n'en a d'ailleurs tiré aucun argument pour tenter de démontrer que la fausse déclaration qu'elle suppute quant à la titularité du véhicule aurait eu une incidence sur l'obligation de verser les prestations d'assurance. Insuffisamment motivé, le grief est irrecevable. A supposer même recevable, le grief devrait de tout façon être rejeté. L'appelante ne saurait en effet prétendre que le droit aux prestations devrait être refusé du seul fait que le véhicule assuré ne serait pas la propriété du preneur d'assurance, soit en l'occurrence de F.________, mais celle de la représentante qualifiée de cette dernière, laquelle est dans les deux cas comprise dans le cercle des personnes assurées (cf. P. 5 et 6, soit la proposition d’assurance et la police d’assurance, dont il ressort, sous la rubrique « Conducteur principal », la mention « Divers »). Même dans l’hypothèse où l'appelante n'aurait pas conclu de contrat d’assurance si elle avait su que le véhicule était propriété de A.T.________, elle n'explique de toute façon pas les raisons qui l’auraient conduite à un tel refus. Au surplus, alors que A.T.________ était la seule associée de la société demanderesse, la J.________AG pouvait et devait envisager dès ce moment qu'elle serait, parmi d'autres, la conductrice principale du véhicule assuré (cf. art. 59 LCA ; Bruhlart, op. cit., n. 714, p. 328); dès lors, si l’appelante estimait avoir des motifs de refuser de conclure avec A.T.________, par hypothèse au motif que celle-ci aurait déjà connu un nombre important de sinistres, elle était déjà en mesure de le faire à l'examen de la proposition d'assurance. L’appelante ne dit du reste pas quelle circonstance survenue à ce moment l'en aurait dissuadée, ni quelle circonstance survenue depuis lors impliquerait de procéder à un tel examen a posteriori . On précisera encore ici que l'appelante ne prétend pas que A.T.________ aurait été par le passé impliquée dans des cas de sinistres frauduleux. Il faut en déduire que l'appelante, bien qu'elle s'en défende après la survenance du sinistre, aurait conclu indifféremment avec la société demanderesse ou A.T.________, compte tenu de ce que dans les deux cas, le véhicule assuré était susceptible d'être majoritairement conduit par cette dernière.</w:t>
      </w:r>
    </w:p>
    <w:p>
      <w:r>
        <w:rPr>
          <w:b/>
        </w:rPr>
        <w:t>E. 3.2.1</w:t>
      </w:r>
    </w:p>
    <w:p>
      <w:r>
        <w:t>L'appelante fait ensuite valoir que la teneur de son courrier du 18 juin 2013 aurait été mal interprétée par les premiers juges en tant que ceux-ci ont retenu en fait une teneur partielle du courrier du 18 juin 2013, ne reprenant pas, en particulier, la phrase en lien avec la réserve de l'examen du bien-fondé en droit des prétentions dont se prévaut la J.________AG en appel. Les premiers juges auraient par ailleurs considéré, à tort selon l’appelante, s’agissant de la question du point de départ de l'intérêt moratoire, que la défenderesse était entrée en matière sur le versement d'une indemnisation par courrier du 18 juin 2013.</w:t>
      </w:r>
    </w:p>
    <w:p>
      <w:r>
        <w:rPr>
          <w:b/>
        </w:rPr>
        <w:t>E. 3.2.2</w:t>
      </w:r>
    </w:p>
    <w:p>
      <w:r>
        <w:t>Aux termes de l'art. 55 al. 1 CPC, les parties allèguent les faits sur lesquels elles fondent leurs prétentions et produisent les preuves qui s'y rapportent. Cette disposition fonde l'application du principe de la maxime des débats en procédure civile suisse, sauf dispositions contraires – prévoyant l'application de la maxime inquisitoire – non applicables dans le cas d'espèce (art. 55 al. 2 CPC). En application de la maxime des débats, les parties portent la responsabilité (presque) exclusive de l'établissement des faits. D'un côté, la maxime des débats implique que le demandeur invoque devant le tribunal les faits sur lesquels il fonde sa prétention (« fardeau de l'allégation »), de l'autre côté que la partie adverse conteste les faits allégués par la première partie, faute de quoi ces faits lient en principe le tribunal (« fardeau de la contestation »).</w:t>
      </w:r>
    </w:p>
    <w:p>
      <w:r>
        <w:rPr>
          <w:b/>
        </w:rPr>
        <w:t>E. 3.2.3</w:t>
      </w:r>
    </w:p>
    <w:p>
      <w:r>
        <w:t>Il ressort de la procédure que la société demanderesse a invoqué dans ses allégués 21 et 22 de la demande une partie seulement du courrier du 18 juin 2016 de la J.________AG, allégués que l’appelante a néanmoins admis sans restriction (cf. réponse du 13 octobre 2014, déterminations ad all. 19-25). Il ne ressort pas non plus de la procédure que la J.________AG aurait allégué le surplus du courrier du 18 juin 2013, ni qu'aucune des parties aurait allégué en son entier le contenu de la P. 9 offerte comme preuve des allégués précités. Au vu de la maxime des débats applicable à la présente cause, s'agissant d'une action en paiement soumise à la procédure ordinaire compte tenu de sa valeur litigieuse (art. 219 CPC et 243 CPC a contrario), l'appelante est malvenue de se plaindre en appel de ce que l'état de fait retenu par les premiers juges serait incomplet ou erroné, alors que celui-ci repose sur des faits qu'elle a admis sans restriction. Le moyen doit être rejeté si tant est, au demeurant, qu'il ait une portée : l'action a été admise au motif que les conditions de l'art. 40 LCA n'étaient pas remplies et l'appel ne porte pas sur le point de départ de l'intérêt moratoire, alors que c'est dans ce contexte que l'examen de la portée du courrier du 18 juin 2013 est pertinent.</w:t>
      </w:r>
    </w:p>
    <w:p>
      <w:r>
        <w:rPr>
          <w:b/>
        </w:rPr>
        <w:t>E. 3.3.1</w:t>
      </w:r>
    </w:p>
    <w:p>
      <w:r>
        <w:t>L'appelante invoque encore une violation des règles sur le fardeau de la preuve lorsqu'elle remet en cause le constat des premiers juges selon lequel, en l'absence d'expertise, il n'était pas établi que la valeur du véhicule déclarée par la société intimée, respectivement sa représentante, sur la base du contrat d'acquisition du 25 février 2013, ne correspondrait pas à la valeur du marché et, partant, serait potentiellement mensongère sous l'angle de l'art. 40 LCA. L'appelante se prévaut également dans le même contexte d'une violation du droit lorsqu'elle affirme que la société intimée n'aurait pas fourni, ou seulement tardivement, les renseignements demandés par elle, contrairement au devoir de collaboration consacré à l'art. 39 LCA, et que les premiers juges auraient ainsi méconnu la portée de l'art. 40 LCA.</w:t>
      </w:r>
    </w:p>
    <w:p>
      <w:r>
        <w:rPr>
          <w:b/>
        </w:rPr>
        <w:t>E. 3.3.2.1</w:t>
      </w:r>
    </w:p>
    <w:p>
      <w:r>
        <w:t>En matière d'assurance de dommages – qui comprend l'assurance de choses –, la prestation de l'assureur dépend normalement de la valeur de la chose assurée ou de l'influence de la survenance de l'événement redouté sur le patrimoine assuré. La chose assurée doit être définie ou être à tout le moins définissable. Elle constitue un élément essentiel du contrat (Bruhlart, op. cit., n. 434, p. 193). En matière d'assurance de choses, l'indemnisation ensuite de la survenance d'un sinistre ne correspond pas à la valeur d'assurance, mais s'effectue en principe à la valeur de remplacement, soit à la valeur de l'objet de l'assurance à l'époque du sinistre. La loi ne donnant pas de précisions quant à la détermination de la valeur de remplacement, les conditions d'assurance peuvent librement fixer le mode de calcul (cf. art. 62 LCA ; Bruhlart, op. cit., n. 674, p. 311 et les réf. cit.).</w:t>
      </w:r>
    </w:p>
    <w:p>
      <w:r>
        <w:rPr>
          <w:b/>
        </w:rPr>
        <w:t>E. 3.3.2.2</w:t>
      </w:r>
    </w:p>
    <w:p>
      <w:r>
        <w:t>En l'occurrence, le risque assuré pertinent est la destruction totale ou partielle du véhicule litigieux. Tant l’offre du 26 février 2013 que la police d'assurance établie le 19 mars 2013 retiennent une indemnisation à la valeur vénale majorée, laquelle est définie aux rubriques K6 et K8 des Conditions générales d’assurance (CGA) I 2012 auxquelles renvoient valablement les documents contractuels. Conformément aux rubriques précitées, en cas de dommage total comme en l'espèce, la valeur vénale correspond à la valeur calculée au moment du sinistre (véhicule et équipements complémentaires) selon les tables et directives de l'Association suisse des experts-automobiles indépendants. Il est indemnisé au maximum le prix d'achat payé (plus les frais pour l'importation et les adaptations techniques pour des véhicules importés personnellement) (K6). En sus de la valeur vénale, il est payé une indemnité majorée correspondant pendant les 7 premières années d'emploi à 20 % et entre la</w:t>
      </w:r>
    </w:p>
    <w:p>
      <w:r>
        <w:rPr>
          <w:b/>
        </w:rPr>
        <w:t>E. 3.3.3</w:t>
      </w:r>
    </w:p>
    <w:p>
      <w:r>
        <w:t>Toutefois, comme les premiers juges l'ont constaté à juste titre, faute d'avoir imparti à l'intimée un délai déterminé pour répondre à sa demande de renseignements du 17 juin 2013, l'appelante ne peut invoquer la déchéance du droit aux prestations du seul fait que l'intimée aurait tardé à répondre, les conditions d'application de l'art. 39 al. 2 ch. 2 LCA n'étant en l'occurrence pas remplies. Sous l'angle de l'art. 40 LCA, l'absence de réponse à la demande de renseignement doit apparaître dolosive et le retard avec lequel la réponse intervient in fine n'est pas en soi déterminant dans ce contexte, de sorte que l'argument tiré de la tardiveté des renseignements fournis doit être en l'occurrence rejeté.</w:t>
      </w:r>
    </w:p>
    <w:p>
      <w:r>
        <w:rPr>
          <w:b/>
        </w:rPr>
        <w:t>E. 3.3.4.1</w:t>
      </w:r>
    </w:p>
    <w:p>
      <w:r>
        <w:t>Comme déjà relevé (cf. consid. 2.3 supra ), s'il revient à l'assuré de rendre vraisemblable le dommage, c'est à l'assureur qu'il revient de rendre vraisemblable que la valeur de l'objet assuré est inférieure à la somme assurée. Les premiers juges ont retenu que la réalité des travaux effectués par le frère de l'associée-gérante préalablement à la revente du véhicule à cette dernière étaient établis par le témoignage, crédible, de W.________. Quant à leur montant éventuellement excessif, le grief n'était pas établi en l'absence d'expertise, à laquelle l'appelante avait délibérément renoncé. Pour le surplus, les premiers juges ont constaté qu'une intention dolosive n'était pas établie, à savoir que rien ne permettait de penser que l'associée-gérante de la société intimée savait que le prix d'acquisition, respectivement la valeur des travaux effectués par son frère, ne seraient pas conformes à la réalité.</w:t>
      </w:r>
    </w:p>
    <w:p>
      <w:r>
        <w:rPr>
          <w:b/>
        </w:rPr>
        <w:t>E. 3.3.4.2</w:t>
      </w:r>
    </w:p>
    <w:p>
      <w:r>
        <w:t>En l'occurrence, il est établi que le véhicule, respectivement le paiement du prix de ce dernier, n'ont pas été comptabilisés par F.________, mais cette circonstance n'est pas en soi déterminante, s'agissant d'une société qui apparaît comme n'ayant jamais eu de véritable activité, selon les déclarations de A.T.________ aux débats du 25 janvier 2016. D'ailleurs, s'agissant du mode de paiement du prix, cette dernière a déclaré que le prix du véhicule avait été acquitté par son père directement à son frère et celui-ci, entendu comme témoin aux débats du 25 juin 2016, a confirmé ce qui précède, en précisant que c'était déjà son père qui lui avait remis les 34'000 fr. nécessaires à l'acquisition initiale du véhicule par ses soins auprès du garage saint-gallois. En première instance, l'appelante n'a pas allégué que le prix effectivement versé aurait été inférieur au montant de 41'900 fr., ni requis la preuve du versement du prix autrement que par le biais de la comptabilité de la société A.T.________ (cf. all. 44 ss et les offres de preuves correspondantes), ce qui, on l'a vu, n'apparaît pas déterminant.</w:t>
      </w:r>
    </w:p>
    <w:p>
      <w:r>
        <w:rPr>
          <w:b/>
        </w:rPr>
        <w:t>E. 3.3.4.3</w:t>
      </w:r>
    </w:p>
    <w:p>
      <w:r>
        <w:t>Quant à la détermination de la valeur des travaux qui sont invoqués à l'appui de la différence de prix, il faut souligner ici que l'appelante n'a offert aucune preuve à l'appui de son allégation se limitant à relever le caractère « troublant » de la plus-value (cf. all. 40 et 41 et les offres de preuve correspondantes) et que si elle s'est réservé lors de l'audience de premières plaidoiries du 27 janvier 2015 la preuve par expertise en lien avec la valeur du véhicule, elle y a renoncé par la suite. Dans ces conditions, il faut constater que l'appelante, à qui le fardeau de la vraisemblance des circonstances pouvant justifier un refus de ses prestations incombait, échoue à établir que le prix de 41'900 fr. n'aurait pas été payé, respectivement que ce prix ne correspondrait pas à la réalité.</w:t>
      </w:r>
    </w:p>
    <w:p>
      <w:r>
        <w:rPr>
          <w:b/>
        </w:rPr>
        <w:t>E. 3.3.4.4</w:t>
      </w:r>
    </w:p>
    <w:p>
      <w:r>
        <w:t>Compte tenu des témoignages pour l'essentiel concordants du frère de l'associée-gérante de la société intimée, B.T.________, carrossier-peintre de son état, ainsi que du collègue de ce dernier au sein du même garage, W.________, quant à la réalisation des travaux de réfection du véhicule avant sa revente, les premiers juges étaient ainsi fondés à considérer, dans le cadre du pouvoir d'appréciation qui était le leur et au stade de la vraisemblance prépondérante, que la réalité de ces travaux était suffisamment vraisemblable et que rien ne permettait de confirmer, ni d'infirmer leur coût, ni de retenir une quelconque manoeuvre dolosive, de sorte que c'était en définitive à l'appelante de supporter l'échec de la preuve.</w:t>
      </w:r>
    </w:p>
    <w:p>
      <w:r>
        <w:rPr>
          <w:b/>
        </w:rPr>
        <w:t>E. 3.3.4.5</w:t>
      </w:r>
    </w:p>
    <w:p>
      <w:r>
        <w:t>Dans ces conditions, c’est à bon droit que les premiers juges ont considéré, sur la base d'une appréciation anticipée des preuves, que la production des dossiers des sinistres annoncés par les différents membres de la famille [...] auprès d'assureurs tiers n'était, en l’occurrence, pas pertinente à rapporter la preuve d'un sinistre frauduleux, celui-ci ne pouvant au surplus être le fait que de A.T.________, en sa qualité de représentante de la société intimée ayant eu à faire les déclarations nécessaire à l'établissement du contrat, puis à l'annonce du sinistre et enfin à fournir les renseignements requis par l'assurance au sujet de celui-ci. On ne décèle ainsi aucune violation du droit d’être entendu de l’appelante.</w:t>
      </w:r>
    </w:p>
    <w:p>
      <w:r>
        <w:rPr>
          <w:b/>
        </w:rPr>
        <w:t>E. 3.4</w:t>
      </w:r>
    </w:p>
    <w:p>
      <w:r>
        <w:t>Au vu de ce qui précède, l'appelante échoue à établir que les conditions d'application de l'art. 40 LCA seraient réalisées. 4. En définitive, l'appel doit être rejeté selon le mode procédural prévu à l'art. 312 al. 1 CPC et le jugement entrepris confirmé. Les frais judiciaires de deuxième instance, arrêtés à 1'343 fr. (art. 62 al. 1 et 2 TFJC [tarif des frais judiciaires civils du 28 septembre 2010 ; RSV 270.11.5), seront mis à la charge de l'appelante, qui succombe (art. 106 al. 1 CPC). Il n’y a pas matière à l’allocation de dépens, l’intimée n’ayant pas été invitée à se déterminer sur l’appel.</w:t>
      </w:r>
    </w:p>
    <w:p>
      <w:r>
        <w:rPr>
          <w:b/>
        </w:rPr>
        <w:t>E. 8</w:t>
      </w:r>
    </w:p>
    <w:p>
      <w:r>
        <w:t>e et 14 e année d'emploi à 10 % du prix de catalogue (au moment de la construction) du véhicule et des équipements complémentaires. L'indemnité maximale globale versée en valeur vénale et en valeur vénale majorée est limitée au prix d'achat payé. A partir de la 15 e année d'emploi, la valeur vénale – seule (réd.) – est indemnisée (K8). Au vu des conditions contractuelles, le prix d'achat payé pour le véhicule litigieux était ainsi un élément pertinent pour la détermination des prestations d'assurance, de sorte que la J.________AG était parfaitement fondée à requérir des renseignements à ce sujet en application de l'art. 39 LCA.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