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104 vom 29. Januar 2016</w:t>
      </w:r>
    </w:p>
    <w:p>
      <w:r>
        <w:t>VD Tribunal cantonal, 2016-01-29, FR</w:t>
      </w:r>
    </w:p>
    <w:p>
      <w:r>
        <w:rPr>
          <w:b/>
        </w:rPr>
        <w:t xml:space="preserve">Quelle: </w:t>
      </w:r>
      <w:r>
        <w:t>https://mcp.opencaselaw.ch/entscheid/vd_findinfo_HC___2016___104</w:t>
      </w:r>
    </w:p>
    <w:p>
      <w:r>
        <w:t>FR: VD_FINDINFO HC / 2016 / 104 du 29 janvier 2016</w:t>
      </w:r>
    </w:p>
    <w:p>
      <w:r>
        <w:t>IT: VD_FINDINFO HC / 2016 / 104 del 29 gennaio 2016</w:t>
      </w:r>
    </w:p>
    <w:p>
      <w:pPr>
        <w:pStyle w:val="Heading2"/>
      </w:pPr>
      <w:r>
        <w:t>Regeste</w:t>
      </w:r>
    </w:p>
    <w:p>
      <w:r>
        <w:t>CERTIFICAT D'HÉRITIER, ÉMOLUMENT | 41 al. 1 TFJC (2010), 45 al. 1 TFJC (2010), 45 al. 2 TFJC (2010)</w:t>
      </w:r>
    </w:p>
    <w:p>
      <w:pPr>
        <w:pStyle w:val="Heading2"/>
      </w:pPr>
      <w:r>
        <w:t>Erwägungen</w:t>
      </w:r>
    </w:p>
    <w:p>
      <w:r>
        <w:rPr>
          <w:b/>
        </w:rPr>
        <w:t>E. 1</w:t>
      </w:r>
    </w:p>
    <w:p>
      <w:r>
        <w:t>L’art. 319 let. b CPC (Code de procédure civile du 19 décembre 2008 ; RS 272) ouvre la voie du recours contre les décisions de première instance dans les cas prévus dans la loi, soit en l’espèce le recours sur les frais de l’art. 110 CPC. La délivrance du certificat d'héritier, affaire gracieuse de droit fédéral, étant soumise à la procédure sommaire (art. 136 CDPJ [Code de droit privé judiciaire vaudois du 12 janvier 2010; RSV 211.02]) et 248 let. e CPC), le délai pour l'introduction du recours est de dix jours (art. 321 al. 2 CPC). Interjeté en temps utile par une partie qui y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op. cit., n. 5 et 6 ad art. 320 CPC, p. 1276 ; Corboz, Commentaire de la LTF, 2 e éd., Berne 2014, n. 27 ad art. 97 LTF, p. 1117).</w:t>
      </w:r>
    </w:p>
    <w:p>
      <w:r>
        <w:rPr>
          <w:b/>
        </w:rPr>
        <w:t>E. 3</w:t>
      </w:r>
    </w:p>
    <w:p>
      <w:r>
        <w:t>a) Selon l'art. 41 al. 1 TFJC (tarif des frais judiciaires en matière civile du 28 septembre 2010; RSV 270.11.5), pour une procédure de dévolution successorale relative à des héritiers de la première parentèle, toutes opérations comprises à l’exception des mesures de sûreté et de la remise du certificat d’héritier, l’émolument est fixé entre 200 et 400 francs. Dans le cas particulier, c'est à bon escient que le premier juge a fixé l'émolument pour la dévolution successorale testamentaire à 400 francs. La recourante n’entreprend par ailleurs pas de démontrer le contraire, de même qu’elle ne conteste pas les frais d’état civil, par 71 fr., et de délivrance d’une attestation d’héritier, par 50 francs. b) La recourante fait valoir que ses bien personnels auraient à tort été pris en compte dans l’établissement de la fortune du défunt. Elle conteste ainsi l’état de la fortune du défunt pris en compte par le premier juge pour le calcul de l’émolument dû pour la délivrance du certificat d’héritier. Selon l'art. 45 TFJC, pour la délivrance d’un certificat d’héritier, il est dû un émolument de base de 100 fr. augmenté de 1 ‰ de l’actif net inventorié de la succession, mais 10'000 fr. au maximum. Si le défunt était marié, le taux est fixé à 0,5 ‰ (al. 1). En l’absence d’inventaire civil, l’émolument est calculé sur la base de la fortune nette imposable résultant de la dernière taxation du défunt passée en force (al. 2). Afin d'éviter que la Justice de paix ne soit contrainte de liquider le régime matrimonial elle-même ou que la délivrance du certificat d'héritier ne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vaudoise du 27 février 1963 concernant le droit de mutation sur les transferts immobiliers et l'impôt sur les successions et donations; RSV 648.11) que l'émolument pourra, cas échéant, être corrigé (cf. art. 45 al. 3 TFJC). En l'espèce, il ressort des pièces du dossier que l'Administration cantonale des impôts a communiqué à la Justice de paix l'état de la fortune nette imposable de feu B.K.________ résultant de sa dernière taxation passée en force. Dès lors que celui-ci était marié, il s’agit de la fortune du couple A.K.________. Le premier juge a arrêté l’émolument dû pour la délivrance du certificat d’héritiers en se fondant sur ce montant. C’est en vain que la recourante conteste les considérations du premier juge à cet égard, l’émolument ayant à bon droit été calculé conformément à l’art. 45 al. 2 TFJC. Toutefois, dès lors que le défunt était marié, la Justice de paix devait appliquer à la fortune nette imposable de celui-ci le taux de 0,5 ‰ et non pas 1 ‰ (art. 45 al. 1 TFJC). L’émolument pour la délivrance du certificat d’héritiers doit ainsi être fixé à 2'060 fr. et non 4'020 fr., et le recours admis dans cette mesure.</w:t>
      </w:r>
    </w:p>
    <w:p>
      <w:r>
        <w:rPr>
          <w:b/>
        </w:rPr>
        <w:t>E. 4</w:t>
      </w:r>
    </w:p>
    <w:p>
      <w:r>
        <w:t>Il résulte de ce qui précède que le recours doit être admis et la liste des émoluments rectifiée en ce sens que les frais de délivrance du certificat d’héritiers s’élèvent à 2'060 fr. et le total des frais à 2'581 francs. Le présent arrêt est rendu sans frais. Par ces motifs, la Chambre des recours civile du Tribunal cantonal, prononce : I. Le recours est admis. II. La liste des émoluments est rectifiée en ce sens que les frais de délivrance du certificat d’héritiers s’élèvent à 2'060 fr. et le total des frais à 2'581 francs. III. L’arrêt, rendu sans frais, est exécutoire. Le président :               La greffière : Du L'arrêt qui précède, dont la rédaction a été approuvée à huis clos, est notifié en expédition complète, par l'envoi de photocopies, à : ‑ Mme A.K.________ ‑ Mme Q.________ ‑ M. C.K.________.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