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1032 vom 27. Oktober 2016</w:t>
      </w:r>
    </w:p>
    <w:p>
      <w:r>
        <w:t>VD Tribunal cantonal, 2016-10-27, FR</w:t>
      </w:r>
    </w:p>
    <w:p>
      <w:r>
        <w:rPr>
          <w:b/>
        </w:rPr>
        <w:t xml:space="preserve">Quelle: </w:t>
      </w:r>
      <w:r>
        <w:t>https://mcp.opencaselaw.ch/entscheid/vd_findinfo_HC___2016___1032</w:t>
      </w:r>
    </w:p>
    <w:p>
      <w:r>
        <w:t>FR: VD_FINDINFO HC / 2016 / 1032 du 27 octobre 2016</w:t>
      </w:r>
    </w:p>
    <w:p>
      <w:r>
        <w:t>IT: VD_FINDINFO HC / 2016 / 1032 del 27 ottobre 2016</w:t>
      </w:r>
    </w:p>
    <w:p>
      <w:pPr>
        <w:pStyle w:val="Heading2"/>
      </w:pPr>
      <w:r>
        <w:t>Regeste</w:t>
      </w:r>
    </w:p>
    <w:p>
      <w:r>
        <w:t>ABUS DE DROIT, PRINCIPE DE LA CONFIANCE{INTERPRÉTATION DU CONTRAT}, IMPOSSIBILITÉ INITIALE, IMPOSSIBILITÉ OBJECTIVE, IMPOSSIBILITÉ SUBJECTIVE, IMPOSSIBILITÉ SUBSÉQUENTE, SOLIDARITÉ ACTIVE, SOLIDARITÉ PASSIVE | 2 al. 2 CC, 143 CO, 151 CO, 156 CO, 160 CO, 161 al. 2 CO, 163 CO, 18 al. 1 CO</w:t>
      </w:r>
    </w:p>
    <w:p>
      <w:pPr>
        <w:pStyle w:val="Heading2"/>
      </w:pPr>
      <w:r>
        <w:t>Erwägungen</w:t>
      </w:r>
    </w:p>
    <w:p>
      <w:r>
        <w:rPr>
          <w:b/>
        </w:rPr>
        <w:t>E. 1</w:t>
      </w:r>
    </w:p>
    <w:p>
      <w:r>
        <w:t>L’appel est recevable contre les décisions finales de première instance (art. 308 al. 1 let. a CPC [Code de procédure civile du 19 décembre 2008 ; RS 272]), dans les causes patrimoniales pour autant que la valeur litigieuse, au dernier état des conclusions devant l’autorité inférieure, soit de 10'000 fr. au moins (art. 308 al. 2 CPC). Le délai d’appel est de trente jours (art. 311 al. 1 CPC). Formé en temps utile par une partie qui y a intérêt (art. 59 al. 2 let. a CPC), dans une cause patrimoniale dont la valeur litigieuse est supérieure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 constatation des faits sur la base des preuves administrées en première instance et parvenir à des constatations de fait différentes de celles de l’autorité de première instance (TF 4A_748/2012 du 3 juin 2013 consid. 2.1 ; Jeandin, op. cit., n. 6 ad art. 310 CPC).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(jurisprudence constante de la CACI, notamment CACI 1 er février 2012/57 consid. 2a).</w:t>
      </w:r>
    </w:p>
    <w:p>
      <w:r>
        <w:rPr>
          <w:b/>
        </w:rPr>
        <w:t>E. 2.2</w:t>
      </w:r>
    </w:p>
    <w:p>
      <w:r>
        <w:t>En l’espèce, selon les expressions figurant sous chiffres 1, 2 et 3 en pages 6, 11 et 16 de leur écriture, les appelantes semblent contester les faits retenus par les premiers juges. Elles confondent toutefois en réalité le grief de constatation inexacte des faits avec celui d’appréciation erronée des faits. Ainsi, excepté leur réquisition tendant à la prise en compte de la déposition de S.________ du 12 mars 2015 − qui doit être intégrée à l’état de fait −, elles ne critiquent pas de manière précise l'établissement des faits de première instance, leur démarche consistant en réalité à remettre en cause la manière dont les premiers juges ont interprété l'état de fait et, pour le surplus, à se référer à leurs conclusions motivées de première instance « s'agissant du détail complet des faits », procédé qui n’est pas admissible en procédure d'appel (CACI 9 octobre 2015/537).</w:t>
      </w:r>
    </w:p>
    <w:p>
      <w:r>
        <w:rPr>
          <w:b/>
        </w:rPr>
        <w:t>E. 3.1</w:t>
      </w:r>
    </w:p>
    <w:p>
      <w:r>
        <w:t>Les appelantes reprochent aux premiers juges d'avoir incorrectement interprété l'art. 18 de l'acte du 2 mai 2012 quant à son aspect contraignant pour les acheteurs et omis d'examiner la question de la nature de l'impossibilité ayant frappé la survenance de deux des trois conditions suspensives prévues par cet accord. Selon elles, cette clause aurait imposé à S.________ de rechercher un financement auprès d'une banque sans relâche jusqu'au 31 mai 2012 et celui-ci se serait montré très passif à cet égard. De plus, il aurait appris déjà la veille de la date de conclusion de cet acte, soit le 1 er mai 2012, que la banque [...] refusait de lui accorder le financement sollicité, de sorte que la troisième condition aurait été exposée à une impossibilité objective initiale. En outre, pour les appelantes, les appelants par voie de jonction seraient directement à l'origine de l'absence de délivrance d'un préavis positif de la Municipalité de la Commune de [...] et l'impossibilité serait sur ce point subjective et subséquente. Dans les deux cas, il y aurait impossibilité fautive qui engagerait la responsabilité des appelants par voie de jonction sous l'angle de l'art. 97 CO (Code des obligations, loi fédérale du 20 mars 1911 complétant le Code civil suisse ; RS 220) en lien avec l'art. 160 CO, dès lors que ceux-ci se seraient comportés contrairement aux règles de la bonne foi en ne s'efforçant pas réellement de tout mettre en oeuvre pour obtenir la réalisation des deuxième et troisième conditions suspensives.</w:t>
      </w:r>
    </w:p>
    <w:p>
      <w:r>
        <w:rPr>
          <w:b/>
        </w:rPr>
        <w:t>E. 3.2</w:t>
      </w:r>
    </w:p>
    <w:p>
      <w:r>
        <w:t>Le comportement contradictoire (venire contra factum proprium) constitue un des cas d'abus de droit que sanctionne l'art. 2 al. 2 CC (Code civil suisse du 10 décembre 1907 ; RS 210). Lorsqu'il y a contradiction avec un comportement antérieur, les règles de la bonne foi ne sont violées que si ledit comportement a suscité une confiance digne de protection qui se trouve ensuite déçue par les actes ultérieurs. Celui qui se fonde sur un acte doit avoir pris des mesures en considération de la situation de confiance suscitée. Il s'agit d'actes qui se révèlent par la suite préjudiciables, parce que, par exemple, l'intéressé a laissé expirer des délais pendant lesquels il pouvait exercer un droit, ou parce qu'il a effectué des actes de procédure qu'il n'aurait pas entrepris à défaut du climat de confiance créé par son partenaire (ATF 130 III 345, JT 2004 I 207; ATF 125 III 257 consid. 2a et les réf. cit.).</w:t>
      </w:r>
    </w:p>
    <w:p>
      <w:r>
        <w:rPr>
          <w:b/>
        </w:rPr>
        <w:t>E. 3.3.1</w:t>
      </w:r>
    </w:p>
    <w:p>
      <w:r>
        <w:t>En l'espèce, il n'est pas contesté que la première condition suspensive prévue par l'art. 17 let. a de l'acte du 2 mai 2012, à savoir l'obtention d'un préavis positif de la Commune de [...] pour le changement d'affectation de l'hôtel en collège avec pensionnat, s'est réalisée dans le délai convenu. De surcroît, les appelants par voie de jonction doivent également être considérés comme ayant respecté leurs obligations contractuelles portant sur les démarches à entreprendre en vue d'obtenir l'accomplissement de la deuxième condition prévue par l'art. 17 let. b, soit l'obtention d'un préavis positif de la municipalité de cette commune relatif à la construction d'un nouveau bâtiment sur la parcelle n° [...], les appelantes elles-mêmes ayant formellement admis en procédure qu'ils avaient fait diligence s'agissant des aspects administratifs et que seule la troisième condition, celle des crédits, était litigieuse. La Cour de céans peine ainsi à comprendre que les appelantes reviennent en appel sur leurs propres procédés de première instance. Ce revirement d'attitude se révèle contraire au principe de la bonne foi (art. 2 CC). Il en découle que seule la problématique portant sur la troisième condition suspensive, à savoir l'obtention par les appelants par voie de jonction de deux crédits hypothécaires d'un montant minimum de 2 millions de francs chacun, formant un montant total de 4 millions de francs, sera traitée par l'autorité d'appel. Avant d'examiner le grief des appelantes portant sur la façon dont les appelants par voie de jonction se sont comportés dans leur recherche de financement, il convient de déterminer le sens qui doit être donné à l'art. 18 du contrat de vente litigieux.</w:t>
      </w:r>
    </w:p>
    <w:p>
      <w:r>
        <w:rPr>
          <w:b/>
        </w:rPr>
        <w:t>E. 3.3.2</w:t>
      </w:r>
    </w:p>
    <w:p>
      <w:r>
        <w:t>Pour qualifier un contrat comme pour l'interpréter, le juge doit en premier lieu rechercher la réelle et commune intention des parties, le cas échéant empiriquement, sur la base d'indices, sans s'arrêter aux expressions ou dénominations inexactes dont elles ont pu se servir, soit par erreur, soit pour déguiser la nature véritable de la convention (art. 18 al. 1 CO ; ATF 131 III 606 consid. 4.1, JdT 2006 1126 ; 125 III 305 consid. 2b, JdT 2000 I 635 ; TF 4C_54/2001 du 9 avril 2002 consid. 2b et les réf. citées). Pour ce faire, le juge prendra en compte non seulement la teneur des déclarations de volonté, mais aussi les circonstances antérieures, concomitantes et postérieures à la conclusion du contrat. Déterminer ce qu'un cocontractant savait ou voulait au moment de conclure relève des constatations de fait ; la recherche de la volonté réelle des parties est qualifiée d'interprétation subjective (ATF 140 III 86 consid. 4.1 et les réf. citées). Si la volonté réelle des parties ne peut pas être établie ou si elle est divergente, le juge interprétera les déclarations faites selon la théorie de la confiance ; il devra donc rechercher comment une déclaration ou une attitude pouvait être comprise de bonne foi en fonction de l'ensemble des circonstances (ATF 127 III 444 consid. 1b, JdT 2002 I 213 ; TF 4A_54/2001 du 9 avril 2002 consid. 2b). Le principe de la confiance permet d'imputer à une partie le sens objectif de son comportement, même si celui-ci ne correspond pas à sa volonté intime (TF 4A_502/2010 du 1 er décembre 2010 consid. 2.1.1 ; TF 4A_665/2010 du 1 er mars 2011 consid. 3.1 ; TF 4A_47/2010 du</w:t>
      </w:r>
    </w:p>
    <w:p>
      <w:r>
        <w:rPr>
          <w:b/>
        </w:rPr>
        <w:t>E. 3.3.3</w:t>
      </w:r>
    </w:p>
    <w:p>
      <w:r>
        <w:t>En l'espèce, comme les premiers juges l'ont justement relevé, l'instruction n'a pas permis d'établir avec certitude la volonté interne des parties lorsqu'elles ont stipulé, à l'art. 18 du contrat, que les acheteurs devaient entreprendre sans désemparer et avant le 31 mai 2012 toute démarche nécessaire ou utile en vue de la réalisation des conditions objets de l'art. 17. C'est donc à bon droit que les premiers juges ont procédé à une interprétation objective de cette clause selon le principe de la confiance. Ils ont ainsi tenu compte du contexte particulier de cette affaire et notamment des circonstances dans lesquelles la troisième condition suspensive avait été intégrée dans la clause litigieuse : comme les appelants par voie de jonction venaient d'apprendre, la veille de la signature de l'acte de vente, que la banque [...] était réticente à accorder le financement requis, ils ont souhaité se protéger au cas où les banques refuseraient de leur octroyer un crédit. Dans ce contexte particulier, les parties avaient parfaitement connaissance de la difficulté de la démarche et les premiers juges ont par conséquent considéré que l'engagement en question portait sur des interventions nécessaires et utiles. Ce raisonnement est convaincant. À l'évidence, contrairement à ce que soutiennent les appelantes, il ne s'agissait pas pour les acheteurs de solliciter quotidiennement et en permanence toutes les banques existantes, mais bien plutôt celles qui étaient réellement susceptibles de prendre favorablement position sur un projet de cette ampleur et la déclaration de S.________ du 12 mars 2015 ne va pas dans un autre sens. L'obligation des acheteurs ne pouvait porter que sur des démarches auprès des quelques établissements bancaires principaux susceptibles d'entrer en matière sur un crédit de 4 millions de francs et en particulier de la banque [...], avec laquelle S.________ entretenait des rapports privilégiés et auprès de laquelle un revirement de position n'était pas encore exclu lors de la signature de l'acte de vente. De toute manière, vu l'extrême brièveté du délai accordé aux acheteurs pour contacter des bailleurs de fonds et mener des négociations (31 mai 2012), il tombe sous le sens qu'il était préférable de poursuivre le processus initié auprès de la banque [...] et de s'adresser à une ou deux grandes banques supplémentaires plutôt que de se disperser dans de multiples prises de contacts manifestement vouées à l'échec. C'est de cette manière que doit être comprise l'obligation contractuelle stipulée à l'art. 18 du contrat et l'interprétation des premiers juges sur ce point peut être confirmée.</w:t>
      </w:r>
    </w:p>
    <w:p>
      <w:r>
        <w:rPr>
          <w:b/>
        </w:rPr>
        <w:t>E. 4</w:t>
      </w:r>
    </w:p>
    <w:p>
      <w:r>
        <w:t>avril 2010 consid. 3.2.1, SJ 2010 I 317 ; TF 4A_54/2001 du 9 avril 2002 consid. 2b).</w:t>
      </w:r>
    </w:p>
    <w:p>
      <w:r>
        <w:rPr>
          <w:b/>
        </w:rPr>
        <w:t>E. 4.1</w:t>
      </w:r>
    </w:p>
    <w:p>
      <w:r>
        <w:t>Les appelantes soutiennent ensuite que vu la possibilité concrète de financement offerte par la banque [...], l’impossibilité initiale comme subséquente non fautive aurait dû être exclue, ce d’autant que S.________ savait, avant la signature de l’acte de vente du 2 mai 2012, que la banque [...] n’allait pas lui accorder le crédit souhaité. Elles prétendent ainsi que les premiers juges auraient dû retenir, à charge des appelants par voie de jonction, une impossibilité objective initiale fautive avant la signature de l’acte ou, à tout le moins, une impossibilité subjective subséquente fautive après la signature de l’acte.</w:t>
      </w:r>
    </w:p>
    <w:p>
      <w:r>
        <w:rPr>
          <w:b/>
        </w:rPr>
        <w:t>E. 4.2</w:t>
      </w:r>
    </w:p>
    <w:p>
      <w:r>
        <w:t>En vertu de l'art. 151 CO, le contrat est conditionnel lorsque l'existence de l'obligation qui en forme l'objet est subordonnée à l'arrivée d'un événement incertain (al. 1); il ne produit d'effets qu'à compter du moment où la condition s'accomplit, si les parties n'ont pas manifesté une intention contraire (al. 2). On parle de condition potestative si la réalisation de la condition dépend de l'une des parties, de condition casuelle si elle dépend d'un tiers ou du hasard et de condition mixte si elle dépend cumulativement d'une partie et d'un tiers ou du hasard (Pichonnaz, Commentaire romand, Code des obligations I, nn. 2, 4-5, 12, 29 ad art. 151 CO). Le contrat assorti d'une condition est conclu mais il n'est pas encore parfait, en ce sens que les créances réciproques n'existent pas encore. Au moment de l'avènement de la condition, la période de suspension prend fin immédiatement et l'acte conditionnel produit ses effets dès cet instant comme un acte pur et simple, sans qu'une action supplémentaire des parties soit nécessaire. La condition peut faire défaut pour deux raisons : l'événement futur ne s'est pas réalisé au terme fixé par les parties ou l'avènement de la condition est devenu définitivement impossible. Lorsque la condition fait défaut, l'expectative de droit renforcée disparaît et les parties se retrouvent dans la même situation que si elles n'avaient jamais conclu d'acte conditionnel (Pichonnaz, op. cit., nn. 40-41, 48-49, 54-58 ad art. 151 CO et les réf. citées.). Le contrat est dans tous les cas entièrement caduc et les prestations effectuées doivent être restituées en application des règles sur l'enrichissement illégitime (art. 62 CO; ATF 129 III 264 consid. 3.2.2 ; TF 4C_25/2004 du 13 septembre 2004 consid. 3.3). Selon l'art. 156 CO, la condition est réputée accomplie quand l'une des parties en a empêché l'avènement au mépris des règles de la bonne foi. Cette disposition concrétise l'interdiction de l'abus de droit (art. 2 al. 2 CC), en particulier du principe selon lequel personne ne peut exercer un droit qu'il a acquis de manière déloyale. Les conditions d'application de l'art. 156 CO sont les suivantes : l'existence d'une condition; l'empêchement de l'avènement de la condition; le comportement répréhensible d'une personne liée par l'expectative renforcée; la violation des règles de la bonne foi; un lien de causalité adéquate entre le comportement et le défaut de la condition, étant précisé qu'il suffit que le comportement ait favorisé de façon déterminante le défaut de la condition (Pichonnaz, op. cit., nn. 1, 4-16 ad art. 156 CO). Pour que le comportement viole les règles de la bonne foi, il faut qu'à la lumière du principe de la confiance, une partie ait l'obligation d'avoir un certain comportement ou une abstention, en particulier parce qu'elle a créé une attente justifiée de l'autre partie. Tel est notamment le cas pour le Tribunal fédéral, si une partie a un comportement contraire au contenu du contrat conditionnel (ATF 117 II 273 consid. 5c, JdT 1992 I 290). Il faut toutefois se garder d'interpréter trop largement l'art. 156 CO; en effet, en convenant d'une condition, les parties ont pris en compte l'existence d'un risque qu'elles doivent assumer (Pichonnaz, op. cit., nn. 12-15 ad art. 156 CO). L'exigence de la causalité suppose encore d'établir que la condition se serait réalisée sans l'empêchement déloyal. Selon la jurisprudence fédérale, on ne saurait cependant à cet égard exiger que cette preuve soit apportée avec certitude; une haute vraisemblance suffit (TF 4C_281/2005 du 15 décembre 2005 consid. 3.5 et les réf. cit.). Le fardeau de la preuve du comportement contraire à la bonne foi, de la relation de causalité entre ce comportement et le défaut de la condition est à charge de la partie au détriment de laquelle le comportement a eu lieu, soit à celle qui se prévaut de la fiction de l'art. 156 CO. En revanche, celui qui, par son comportement, a empêché la condition de se réaliser, peut toujours apporter la preuve que la condition ne se serait de toute manière pas accomplie (TF 4C_281/2005 du 15 décembre 2005 consid. 3.5 et les réf. cit.). La clause pénale ou peine conventionnelle (art. 160 à 163 CO) est une convention accessoire par laquelle le débiteur promet au créancier une prestation pour les cas d'inexécution, d'exécution imparfaite ou tardive de son obligation. La prestation stipulée dans la clause pénale est due indépendamment du dommage subi par le créancier et, sauf convention contraire, même si celui-ci n'a encouru aucun dommage (art. 161 al. 1 CO ; Engel, Traité des obligations en droit suisse, 2 e éd., 1997, n. 272, p. 862), sous réserve de son caractère réductible (art. 163 al. 3 CO). La jurisprudence a admis que l'engagement de se comporter conformément au contrat peut faire l'objet d'une clause pénale (ATF 122 III 420 consid. 2a). Dans ce contexte, les parties sont libres de définir le comportement que la peine conventionnelle est destinée à empêcher. Aux fins de créer une pression générale en faveur d'une exécution conforme au contrat, elles peuvent en particulier convenir d'une clause générale selon laquelle une peine conventionnelle est due pour chaque violation d'un devoir contractuel. L'interprétation de telles clauses a lieu selon l'art. 18 CO (ATF 135 III 433 consid. 4.2, JdT 2009 I 479, p. 485). La clause pénale a un caractère autonome en ce sens qu'elle constitue une nouvelle obligation qui s'ajoute à la dette principale du débiteur ou l'augmente et est sujette à des causes d'extinction qui lui sont propres (Mooser, Commentaire romand, CO I, 2 e éd., Bâle 2012, n. 1 ad art. 160 CO et les réf. citées.). Elle a un caractère accessoire en ce sens qu'elle est au service de l'obligation principale, qu'elle renforce. En cas de nullité de l'obligation principale, la clause pénale est également nulle. La peine conventionnelle n'est pas non plus due en cas d'impossibilité initiale (art. 20 CO) et, sauf convention contraire, en cas d'impossibilité subséquente non fautive (art. 119 al. 1 CO), ce qu'il appartient au débiteur de prouver (Mooser, op. cit., n. 4 ad art. 163 CO). L'art. 163 al. 2 CO prévoit notamment que la peine stipulée ne peut être exigée lorsque l'exécution de l'obligation est devenue impossible par l'effet d'une circonstance dont le débiteur n'est pas responsable. Cette disposition ne vise cependant que les cas d'impossibilité initiale (art. 20 CO) ou d'impossibilité subséquente non fautive au sens de l'art. 119 CO, soit une impossibilité objective − et non subjective (Thévenoz, Commentaire romand, CO I, 2 e éd., Bâle 2012, n. 4 ad art. 119 CO) − de la prestation, de surcroît non imputable au débiteur.</w:t>
      </w:r>
    </w:p>
    <w:p>
      <w:r>
        <w:rPr>
          <w:b/>
        </w:rPr>
        <w:t>E. 4.3</w:t>
      </w:r>
    </w:p>
    <w:p>
      <w:r>
        <w:t>En l'espèce, comme on l'a vu, les parties ont intégré au dernier moment la troisième condition suspensive portant sur le financement et un délai au 31 mai 2012, soit de moins d'un mois, a été accordé aux acheteurs pour prendre toutes les mesures leur permettant d'obtenir, le 31 juillet 2012 au plus tard, un crédit portant sur la somme de 4 millions. L'ajout de cette clause, sollicité par les acheteurs après avoir reçu un préavis défavorable de la banque [...] la veille de la signature de l'acte de vente, était destiné à protéger ces derniers pour le cas où le financement ne pourrait être obtenu. Il s'avère également, et les appelants ne le contestent pas, que le projet n'était pas réalisable pour les trois banques contactées par les acheteurs, soit les banques [...], [...] et [...], compte tenu de la faible valeur des bâtiments et du prix de revient élevé des parcelles (prix d'achat et coût des travaux de rénovation et de transformation). Il ne fait aucun doute que d'autres établissements bancaires auraient également été interpellés par le différentiel important entre la valeur des biens-fonds et le prix de la transaction, leur politique de financement étant assez similaire. La question se pose ainsi de savoir si l'exécution de l'obligation des acheteurs quant au financement n'était pas d'emblée impossible, ce qui priverait de plein droit et sans autre examen les appelantes d'obtenir l'exécution de la peine conventionnelle, celles-ci n'ayant nullement établi, ni même allégué, que les appelants par voie de jonction étaient responsables de la survenance de cette impossibilité initiale (art. 163 al. 2 CO). A supposer même que cette impossibilité soit subséquente, il s'agirait d'une impossibilité objective non fautive (art. 119 CO) excluant l'application de l'art. 156 CO. En effet, il ressort clairement des faits retenus par les premiers juges, et non valablement contestés en appel, qu'aucun établissement bancaire n'était susceptible d'accorder un important crédit pour l'opération immobilière envisagée et encore moins à très court terme, soit avant l'échéance du 31 juillet 2012. À cet égard, l'argumentation des appelantes quant à un éventuel accord de la banque [...] n’est pas pertinent étant donné qu’il ressort uniquement des faits que cet établissement bancaire se tenait à la disposition des appelants par voie de jonction pour engager des pourparlers mais qu'il n'était pas informé des détails de l'opération immobilière envisagée et qu'il n'avait pas ouvert un quelconque dossier sur ce point. Enfin, par surabondance, la Cour de céans relève que les appelantes ne renversent nullement l'appréciation convaincante des premiers juges sur le sérieux manifesté par les appelants par voie de jonction dans le cadre des démarches entreprises auprès des banques [...], [...] et [...]. Une fois encore, les appelantes présentent leur propre version des faits mais ne démontrent pas de manière détaillée en quoi les constatations des premiers juges seraient erronées. Les premiers juges ont retenu que les appelants par voie de jonction avaient préparé convenablement les dossiers soumis à ces trois banques et mené des négociations soutenues avec les personnes concernées. En outre, il est également établi que S.________ était bien considéré auprès de la banque [...], cet établissement bancaire n'ayant jamais écarté ses demandes de crédit dans le passé. Dans ces circonstances, il était parfaitement cohérent et même judicieux que celui-ci s'adresse d'abord à cette banque et qu'il poursuive ses démarches avec cette dernière jusqu'à ce qu'il réalise qu'aucun revirement d'attitude de cet établissement ne pouvait être espéré. De plus, contrairement à ce que tentent de faire croire les appelantes, les parties avaient bien pris en considération, lors de l'établissement du projet de l'acte de vente, l'absence de S.________ du 2 juin au 31 juillet 2012 et c'est précisément pour cette raison que le délai stipulé à l'art. 18 avait été fixé au 31 mai 2012. Enfin, le fait que les appelants par voie de jonction se soient d'emblée et directement acquittés des acomptes convenus auprès des appelantes, au lieu d'une consignation auprès du notaire conformément à l'usage, tend également à démontrer que les appelants par voie de jonction souhaitaient voir la transaction aboutir, ce qui confirme leur bonne foi. C'est donc à bon droit que les premiers juges ont exclu l'application de la fiction de l'art. 156 CO.</w:t>
      </w:r>
    </w:p>
    <w:p>
      <w:r>
        <w:rPr>
          <w:b/>
        </w:rPr>
        <w:t>E. 5.1</w:t>
      </w:r>
    </w:p>
    <w:p>
      <w:r>
        <w:t>Les appelants par voie de jonction remettent en cause l'annulation par les premiers juges des poursuites n os [...], [...], [...] et [...]. Ils exposent que la vente des parcelles n os [...] et [...] ne formerait qu'un tout, au même titre que le versement des acomptes, les parties ayant entrepris ensemble la réalisation d'un but commun. Il en découlerait qu'une solidarité passive devrait être retenue à l'encontre des appelantes et ce malgré l'absence de mention formelle de cette solidarité dans l'acte du 2 mai 2012.</w:t>
      </w:r>
    </w:p>
    <w:p>
      <w:r>
        <w:rPr>
          <w:b/>
        </w:rPr>
        <w:t>E. 5.2</w:t>
      </w:r>
    </w:p>
    <w:p>
      <w:r>
        <w:t>Dans le cadre d'une relation contractuelle, il y a solidarité passive, au sens de l'art. 143 al. 1 CO, lorsque plusieurs débiteurs déclarent s'obliger de manière qu'à l'égard du créancier chacun d'eux soit tenu pour le tout. La solidarité passive naît tout d'abord par une déclaration expresse des parties; c'est le cas, par exemple, lorsque celles-ci utilisent le terme « solidaire » (ATF 111 II 284 consid. 2). Mais un engagement solidaire peut aussi se former tacitement et résulter des circonstances ainsi que du contexte du contrat. Cependant, à défaut de convention contraire ou de disposition légale spécifique, il faut admettre que chaque débiteur ne s'est engagé que pour une partie de la dette envers le créancier (cf. art. 143 al. 2 CO). Selon la jurisprudence du Tribunal fédéral et la doctrine, le seul fait de conclure un contrat à plusieurs ne suffit pas en soi à faire naître des obligations solidaires entre les intéressés (ATF 116 II 707 consid. 3 et les réf. citées; CACI</w:t>
      </w:r>
    </w:p>
    <w:p>
      <w:r>
        <w:rPr>
          <w:b/>
        </w:rPr>
        <w:t>E. 5.3</w:t>
      </w:r>
    </w:p>
    <w:p>
      <w:r>
        <w:t>supra). Vu l’issue du litige, les frais judiciaires de deuxième instance, arrêtés à 18'500 fr. (art. 62 al. 2 TFJC [tarif des frais judiciaires civils du 28 septembre 2010 ; RSV 270.11.5]), seront mis à la charge de S.________ et d'A.________ Sàrl, solidairement entre eux, par 12'000 fr., et à la charge d'O.________ SA et d'E.________ SA, solidairement entre elles, par 6'500 fr. (art. 106 al. 1 CPC). 6.2 La charge des dépens de deuxième instance en faveur de S.________ et A.________ Sàrl est évaluée à 5’000 fr. dans le cadre de l’appel principal, de sorte que O.________ SA et E.________ SA solidairement entre elles, verseront à ces derniers, solidairement entre eux, la somme de 5’000 fr., à titre de dépens de deuxième instance. Il n’y a en revanche pas lieu d’allouer de dépens aux appelantes dans le cadre de l’appel joint, celles-ci n’ayant pas été invitées à se déterminer.</w:t>
      </w:r>
    </w:p>
    <w:p>
      <w:r>
        <w:rPr>
          <w:b/>
        </w:rPr>
        <w:t>E. 10</w:t>
      </w:r>
    </w:p>
    <w:p>
      <w:r>
        <w:t>juin 2014/312 et les réf. citées.). Le Tribunal fédéral a toutefois admis l'existence d'une solidarité passive entre deux personnes qui avaient formulé une offre collective dans une vente aux enchères, bien qu'elles n'aient pas été liées par un rapport de société simple (ATF 47 III 213 consid. 2). Des tribunaux cantonaux ont retenu la solidarité passive entre des locataires ayant signé un contrat de bail; en revanche, le seul fait, pour des concubins, de vivre ensemble dans un appartement n'a pas été jugé suffisant pour créer un lien de solidarité passive entre les partenaires. Semblable lien a été admis à l'égard d'époux ayant contracté ensemble un emprunt pour faire face à leurs besoins communs, de même que pour des obligations découlant d'un compte joint (pour des références à la jurisprudence cantonale, cf. Guhl/Koller/Schnyder/Druey, ibidem, et Romy, Commentaire romand, n. 7 ad art. 143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