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103 vom 29. Januar 2016</w:t>
      </w:r>
    </w:p>
    <w:p>
      <w:r>
        <w:t>VD Tribunal cantonal, 2016-01-29, FR</w:t>
      </w:r>
    </w:p>
    <w:p>
      <w:r>
        <w:rPr>
          <w:b/>
        </w:rPr>
        <w:t xml:space="preserve">Quelle: </w:t>
      </w:r>
      <w:r>
        <w:t>https://mcp.opencaselaw.ch/entscheid/vd_findinfo_HC___2016___103</w:t>
      </w:r>
    </w:p>
    <w:p>
      <w:r>
        <w:t>FR: VD_FINDINFO HC / 2016 / 103 du 29 janvier 2016</w:t>
      </w:r>
    </w:p>
    <w:p>
      <w:r>
        <w:t>IT: VD_FINDINFO HC / 2016 / 103 del 29 gennaio 2016</w:t>
      </w:r>
    </w:p>
    <w:p>
      <w:pPr>
        <w:pStyle w:val="Heading2"/>
      </w:pPr>
      <w:r>
        <w:t>Regeste</w:t>
      </w:r>
    </w:p>
    <w:p>
      <w:r>
        <w:t>ASSISTANCE JUDICIAIRE, INDEMNITÉ ÉQUITABLE, AVOCAT D'OFFICE, DROIT D'ÊTRE ENTENDU, MOTIVATION DE LA DÉCISION | 29 al. 2 Cst., 122 al. 1 let. a CPC (CH)</w:t>
      </w:r>
    </w:p>
    <w:p>
      <w:pPr>
        <w:pStyle w:val="Heading2"/>
      </w:pPr>
      <w:r>
        <w:t>Erwägungen</w:t>
      </w:r>
    </w:p>
    <w:p>
      <w:r>
        <w:rPr>
          <w:b/>
        </w:rPr>
        <w:t>E. 1.1</w:t>
      </w:r>
    </w:p>
    <w:p>
      <w:r>
        <w:t>La décision arrêtant la rémunération du conseil d'office au sens de l'art. 122 al. 1 let. a CPC est une décision sur frais qui ne peut être attaquée séparément que par un recours au sens de l'art. 110 CPC (Tappy, CPC commenté, Bâle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consid. 1 ; Tappy, op. cit., n. 22 ad art. 122 CPC). En l'espèce, formé en temps utile par une partie qui a un intérêt digne de protection (art. 59 al. 2 let. a CPC), le recours est recevable.</w:t>
      </w:r>
    </w:p>
    <w:p>
      <w:r>
        <w:rPr>
          <w:b/>
        </w:rPr>
        <w:t>E. 1.2</w:t>
      </w:r>
    </w:p>
    <w:p>
      <w:r>
        <w:t>Toutes les pièces produites par la recourante figurent déjà au dossier de première instance, de sorte qu'il n'y a pas lieu de se déterminer sur leur recevabilité.</w:t>
      </w:r>
    </w:p>
    <w:p>
      <w:r>
        <w:rPr>
          <w:b/>
        </w:rPr>
        <w:t>E. 2</w:t>
      </w:r>
    </w:p>
    <w:p>
      <w:r>
        <w:t>Le recours est recevable pour violation du droit (art. 320 let. a CPC) et constatation manifestement inexacte des faits (art. 320 let. b CPC). L'autorité de recours dispose d'un plein pouvoir d'examen s'agissant de la violation du droit ( Spühler, Basler Kommentar, Schweizerische Zivilprozessordnung, 2 e éd., 2013, n. 1 ad art. 320 CPC ). Elle revoit librement les questions de droit soulevées par le recourant et peut substituer ses propres motifs à ceux de l'autorité précédente ou du recourant (Hohl, Procédure civile, t. II, 2 e éd., 2010, n. 2508). S'agissant des faits, toutefois, le pouvoir d'examen dont dispose l'autorité saisie d'un recours est plus restreint qu'en appel, le grief de la constatation manifestement inexacte des faits se recoupant avec celui de l'arbitraire au sens de l'art. 9 Cst. (Jeandin, CPC commenté, Bâle 2011, nn. 4 et 5 ad art. 321 CPC et les réf. cit.).</w:t>
      </w:r>
    </w:p>
    <w:p>
      <w:r>
        <w:rPr>
          <w:b/>
        </w:rPr>
        <w:t>E. 3.1</w:t>
      </w:r>
    </w:p>
    <w:p>
      <w:r>
        <w:t>La recourante reproche au premier juge d'avoir réduit les heures de travail à un total de 7 heures, au lieu des 2 h 30 et 10 h 10 invoquées respectivement pour l'avocate-stagiaire et elle-même.</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nn. 5 à 7 ad art. 122 CPC, pp. 683-684).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(CREC 2 juin 2015/208 consid. 3b/ba).</w:t>
      </w:r>
    </w:p>
    <w:p>
      <w:r>
        <w:rPr>
          <w:b/>
        </w:rPr>
        <w:t>E. 3.3</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JT 2011 IV 3 ; ATF 130 II 530 consid. 4.3). Un vice découlant de la violation du droit d'être entendu ne peut être réparé devant la Chambre des recours civile du Tribunal cantonal, dès lors qu'elle ne dispose pas du même pouvoir de cognition que le premier juge et qu'elle ne peut revoir les faits que sous l'angle de l'arbitraire (cf. art. 320 let. b CPC ; CREC 4 mars 2015/102 consid. 3b ; CREC 10 décembre 2014/435 consid. 3b).</w:t>
      </w:r>
    </w:p>
    <w:p>
      <w:r>
        <w:rPr>
          <w:b/>
        </w:rPr>
        <w:t>E. 3.4</w:t>
      </w:r>
    </w:p>
    <w:p>
      <w:r>
        <w:t>En l'espèce, le premier juge n'a pas exposé les raisons pour lesquelles il convenait selon lui de ramener le temps consacré au dossier par la recourante et l'avocate-stagiaire à 7 heures, relevant simplement « que le nombre d'heures de Me V.________ paraît élevé au vu des opérations effectuées (...), qu'au vu de l'expérience de l'autorité de céans et de la complexité du dossier, il convient ainsi de ramener ce total à 7 heures ». Il n'a ainsi pas expliqué de façon suffisante en quoi il se justifiait de réduire le temps décompté de 10 h 10 pour la recourante, respectivement 2 h 30 pour l'avocate-stagiaire. Ce défaut de motivation constitue une violation du droit d'être entendu de la recourante, qui ne peut être réparée devant l'autorité de recours en raison de son pouvoir de cognition restreint. Le premier juge est au demeurant le mieux placé pour apprécier le temps nécessaire à l'accomplissement du mandat d'office.</w:t>
      </w:r>
    </w:p>
    <w:p>
      <w:r>
        <w:rPr>
          <w:b/>
        </w:rPr>
        <w:t>E. 4</w:t>
      </w:r>
    </w:p>
    <w:p>
      <w:r>
        <w:t>Il résulte de ce qui précède que le recours doit être admis. La décision attaquée doit être annulée au chiffre I de son dispositif et la cause renvoyée à l'autorité de première instance pour statuer à nouveau (art. 327 al. 3 let. a CPC). Les frais judiciaires de deuxième instance, arrêtés à 100 fr. (art. 69 al. 1 et 70 al. 3 TFJC [tarif des frais judiciaires en matière civile du 28 septembre 2010 ; RSV 270.11.5]), sont laissés à la charge de l’Etat (art. 107 al. 2 CPC). La recourante ayant agi dans sa propre cause, il n'y a pas lieu à l'allocation de dépens (art. 95 al. 3 let. c CPC a contrario). Par ces motifs, la Chambre des recours civile du Tribunal cantonal prononce : I. Le recours est admis. II. Le prononcé est annulé au chiffre I de son dispositif et la cause est renvoyée à la Juge de paix des districts du Jura – Nord vaudois et du Gros-de-Vaud pour statuer à nouveau. III. Les frais judiciaires de deuxième instance, arrêtés à 100 fr. (cent francs), sont laissés à la charge de l'Etat. IV. L'arrêt motivé est exécutoire. Le président :               La greffière : Du 1 er février 2016 Le dispositif de l'arrêt qui précède est communiqué par écrit aux intéressés. La greffière : Du L'arrêt qui précède, dont la rédaction a été approuvée à huis clos, est notifié en expédition complète, par l'envoi de photocopies, à : ‑ Me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