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991 vom 28. Oktober 2015</w:t>
      </w:r>
    </w:p>
    <w:p>
      <w:r>
        <w:t>VD Tribunal cantonal, 2015-10-28, FR</w:t>
      </w:r>
    </w:p>
    <w:p>
      <w:r>
        <w:rPr>
          <w:b/>
        </w:rPr>
        <w:t xml:space="preserve">Quelle: </w:t>
      </w:r>
      <w:r>
        <w:t>https://mcp.opencaselaw.ch/entscheid/vd_findinfo_HC___2015___991</w:t>
      </w:r>
    </w:p>
    <w:p>
      <w:r>
        <w:t>FR: VD_FINDINFO HC / 2015 / 991 du 28 octobre 2015</w:t>
      </w:r>
    </w:p>
    <w:p>
      <w:r>
        <w:t>IT: VD_FINDINFO HC / 2015 / 991 del 28 ottobre 2015</w:t>
      </w:r>
    </w:p>
    <w:p>
      <w:pPr>
        <w:pStyle w:val="Heading2"/>
      </w:pPr>
      <w:r>
        <w:t>Regeste</w:t>
      </w:r>
    </w:p>
    <w:p>
      <w:r>
        <w:t>ASSISTANCE JUDICIAIRE, RESPONSABILITÉ CONTRACTUELLE, DÉCISION D'IRRECEVABILITÉ | 121 CPC (CH), 326 CPC (CH)</w:t>
      </w:r>
    </w:p>
    <w:p>
      <w:pPr>
        <w:pStyle w:val="Heading2"/>
      </w:pPr>
      <w:r>
        <w:t>Erwägungen</w:t>
      </w:r>
    </w:p>
    <w:p>
      <w:r>
        <w:rPr>
          <w:b/>
        </w:rPr>
        <w:t>E. 1</w:t>
      </w:r>
    </w:p>
    <w:p>
      <w:r>
        <w:t>a/aa) 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bb) Le recours doit contenir, sous peine d'irrecevabilité, des conclusions, en annulation ou au fond, soit ce que la partie veut que le tribunal lui alloue dans sa décision (CREC 11 mai 2012/173).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 juin 2014/190). Dès lors, les conclusions doivent être rédigées d’une manière suffisamment précise pour pouvoir être reprises telles quelles dans le dispositif de la décision à rendre. Il s’ensuit qu’en matière pécuniaire, les conclusions doivent être chiffrées (ATF 137 III 617, rés. in SJ 2012 I 373, consid. 4.3 et 4.4 et les références citées; CREC 11 juillet 2014/238 ). Par ailleurs,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11 juillet 2014/238). b/aa) En l’espèce, le recourant requiert de la Cour de céans qu’elle se prononce sur la validité de la désignation de son conseil d’office (conclusion 1) et qu’elle constate que son conseil, par son courrier du 12 mars 2015 à la Présidente, « [a mis] en danger le dépôt au garde-meuble municipal et de ce fait [doit répondre] de son sort » (conclusion 2). La question d’une éventuelle responsabilité du mandataire ne relève pas du présent litige. Il n’y a donc pas lieu de débattre ici de cette question. Les conclusions 1 et 2 sont à cet égard irrecevables. bb) Quant à la conclusion 3, elle n’est pas chiffrée. Toujours est-il que l’on comprend que le recourant s’oppose à ce que son conseil soit rémunéré et qu’il conteste donc dans son intégralité l’indemnité allouée, par 1'539 francs. Au reste, la question de la recevabilité du recours peut cependant rester indécise, dès lors qu’il doit être rejeté pour les motifs qui suivent.</w:t>
      </w:r>
    </w:p>
    <w:p>
      <w:r>
        <w:rPr>
          <w:b/>
        </w:rPr>
        <w:t>E. 2</w:t>
      </w:r>
    </w:p>
    <w:p>
      <w:r>
        <w:t>e éd., Berne 2010, n. 2508).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 Commentaire de la LTF, 2 e éd., Berne 2014, n. 27 ad art. 97 LTF).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consid. 2.1). Aux termes de l’art. 326 al. 1 CPC, les conclusions, les allégations de faits et les preuves nouvelles sont irrecevables.</w:t>
      </w:r>
    </w:p>
    <w:p>
      <w:r>
        <w:rPr>
          <w:b/>
        </w:rPr>
        <w:t>E. 3</w:t>
      </w:r>
    </w:p>
    <w:p>
      <w:r>
        <w:t>a) Dans la partie « Faits » de son mémoire de recours, Q.________ revient tout d’abord sur l’historique de ses meubles déposés au garde-meubles du Service social de la Commune [...], puis sur la désignation de l’intimé dans le cadre de la procédure de mesures provisionnelles, sur l’action en destitution qu’il aurait ensuite introduite à l’encontre de son conseil légal coopérant, sur son action en levée de la mesure d’interdiction civile et enfin sur le prononcé du 17 avril 2015, prenant acte du retrait de la requête de mesures provisionnelles. b) Dans son exposé, le recourant ne fait aucune démonstration de l’arbitraire dans la constatation des faits, se contentant d’exposer les faits, tels qu’appréhendés de son point de vue, ce de manière purement appellatoire – ce qui est irrecevable en l’état.</w:t>
      </w:r>
    </w:p>
    <w:p>
      <w:r>
        <w:rPr>
          <w:b/>
        </w:rPr>
        <w:t>E. 4</w:t>
      </w:r>
    </w:p>
    <w:p>
      <w:r>
        <w:t>a) Le recourant reproche au conseil d’office intimé d’avoir confié le mandat à l’avocat [...], son collègue de cabinet, sans l’autorisation du tribunal, indiquant qu’il doit dès lors répondre de cette situation. Il reproche en outre à l’intimé d’avoir provoqué, par son courrier du 12 mars 2015, le prononcé du 17 avril 2015 prenant acte du retrait de sa requête de mesures provisionnelles, sans l’avoir consulté préalablement, ni lui avoir transmis ce prononcé. Pour le recourant, l’intimé doit « répond[re] du sort de [s]es biens » et à cet égard « ne saurait revendiquer des honoraires pour un mandat qui n’a pas abouti notamment parce qu’il l’a confié illégalement à un tiers ». b) Selon l’art. 2 RAJ,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le juge devant apprécier l'étendue des opérations nécessaires pour la conduite du procès. c) En l’espèce, on constate que le recourant ne dit pas que son conseil n’aurait effectué aucune tâche dans le cadre de son mandat. Il ne conteste pas le nombre d’heures, telles qu’avancées par le mandataire pour les tâches effectuées par ses soins au cours de son mandat d’office, qui peuvent être ici confirmées, puisqu’elles n’apparaissent nullement disproportionnées. Les faits avancés par le recourant en lien avec les activités prétendument effectuées par des tiers, dont l’avocat R.________, sont nouvellement allégués et donc irrecevables en procédure de recours (cf. art. 326 al. 1 CPC). Ils ne sauraient donc fonder l’argumentation du recourant. Il est en outre surprenant que le recourant ait attendu tout ce temps pour faire valoir cet argument, étant relevé que l’intimé a été désigné en qualité de mandataire d’office le 20 décembre 2011 déjà, soit il y a près de quatre ans.</w:t>
      </w:r>
    </w:p>
    <w:p>
      <w:r>
        <w:rPr>
          <w:b/>
        </w:rPr>
        <w:t>E. 5</w:t>
      </w:r>
    </w:p>
    <w:p>
      <w:r>
        <w:t>Il résulte de ce qui précède que le recours doit être rejeté dans la mesure de sa recevabilité. La décision doit être confirmée. Les frais judiciaires de deuxième instance, arrêtés à 100 fr. (art. 69 al. 1 et 3 TFJC [Tarif du 28 septembre 2010 des frais judiciaires civils, RSV 270.11.5]), sont mis à la charge du recourant, qui succombe (art. 106 al. 1 CPC). L’intimé n’ayant pas été invité à se déterminer sur le recours, il n’y a pas matière à l’allocation de dépens. Par ces motifs, la Chambre des recours civile du Tribunal cantonal, prononce : I. Le recours est rejeté, dans la mesure de sa recevabilité. II. La décision est confirmée. III. Les frais judiciaires de deuxième instance, arrêtés à 100 fr. (cent francs), sont mis à la charge du recourant Q.________. IV. L’arrêt motivé est exécutoire. Le président :               Le greffier : Du 29 octobre 2015 Le dispositif de l'arrêt qui précède est communiqué par écrit aux intéressés. Le greffier : Du L'arrêt qui précède, dont la rédaction a été approuvée à huis clos, est notifié en expédition complète, par l'envoi de photocopies, à : ‑ M. Q.________ ‑ Me G.________ La Chambre des recours civile considère que la valeur litigieuse est de 1’539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