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98 vom 15. Januar 2015</w:t>
      </w:r>
    </w:p>
    <w:p>
      <w:r>
        <w:t>VD Tribunal cantonal, 2015-01-15, FR</w:t>
      </w:r>
    </w:p>
    <w:p>
      <w:r>
        <w:rPr>
          <w:b/>
        </w:rPr>
        <w:t xml:space="preserve">Quelle: </w:t>
      </w:r>
      <w:r>
        <w:t>https://mcp.opencaselaw.ch/entscheid/vd_findinfo_HC___2015___98</w:t>
      </w:r>
    </w:p>
    <w:p>
      <w:r>
        <w:t>FR: VD_FINDINFO HC / 2015 / 98 du 15 janvier 2015</w:t>
      </w:r>
    </w:p>
    <w:p>
      <w:r>
        <w:t>IT: VD_FINDINFO HC / 2015 / 98 del 15 gennaio 2015</w:t>
      </w:r>
    </w:p>
    <w:p>
      <w:pPr>
        <w:pStyle w:val="Heading2"/>
      </w:pPr>
      <w:r>
        <w:t>Regeste</w:t>
      </w:r>
    </w:p>
    <w:p>
      <w:r>
        <w:t>SUSPENSION DE LA PROCÉDURE | 126 al. 2 CPC (CH), 319 let. b ch. 1 CPC (CH)</w:t>
      </w:r>
    </w:p>
    <w:p>
      <w:pPr>
        <w:pStyle w:val="Heading2"/>
      </w:pPr>
      <w:r>
        <w:t>Erwägungen</w:t>
      </w:r>
    </w:p>
    <w:p>
      <w:r>
        <w:rPr>
          <w:b/>
        </w:rPr>
        <w:t>E. 1</w:t>
      </w:r>
    </w:p>
    <w:p>
      <w:r>
        <w:t>La Communication de suspension attaquée n’indique aucune voie de droit. Selon l’art. 126 al. 2 CPC (Code de procédure civile du 19 décembre 2008, RS 272), la voie du recours de l'art. 319 let. b ch. 1 CPC contre les ordonnances de suspension est ouverte. La décision attaquée correspond à une ordonnance de suspension. Les ordonnances de suspension devant être considérées comme des décisions d'instruction (Jeandin, CPC commenté, Bâle 2011, n. 18 ad art. 319 CPC). Le recours, écrit et motivé, doit être introduit auprès de l'instance de recours dans le délai de dix jours de l’art. 321 al. 1 et 2 CPC (CREC 14 juin 2013/205 c. 2.2). Interjeté en temps utile par une personne qui y a intérêt (art. 59 al. 2 let. a CPC), le présent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Schweizerische Zivilprozessordnung, Bâle 2010, n. 12 ad art. 319 CPC) ; elle revoit librement les questions de droit soulevées par le recourant et peut substituer ses propres motifs à ceux de l'autorité précédente ou du recourant (Hohl, Procédure civile, tome Il, 2 e éd., Berne 2010, n. 2508, p. 452). S'agissant de la constatation manifestement inexacte des faits, ce grief, comme pour l'art. 97 al. 1 LTF, ne permet que de corriger une erreur évidente, la notion se recoupant en définitive avec l'appréciation arbitraire des preuves (Corboz et alii, Commentaire de la LTF, 2 e éd., Berne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 sur révocation de sursis extraordinaire (Jeandin, op. cit.    n. 4 ad art. 326 CPC). En l’espèce, les pièces produites par les parties en deuxième instance sont irrecevables dans la mesure où elles ne figuraient pas déjà au dossier de première instance (art. 326 al. 2 CPC).</w:t>
      </w:r>
    </w:p>
    <w:p>
      <w:r>
        <w:rPr>
          <w:b/>
        </w:rPr>
        <w:t>E. 4.1</w:t>
      </w:r>
    </w:p>
    <w:p>
      <w:r>
        <w:t>Les conclusions du recours vont au-delà de la question litigieuse de la suspension, puisque le recourant prend des conclusions sur le fond. Cela étant, on comprend à la lecture de la motivation que le recourant conteste la suspension accordée. En substance, le recourant soutient que la désignation future d’un représentant n’est pas à même d’avoir une incidence sur la solution du litige de première instance, puisqu’au moment où cette autorité a été saisie il n’y avait pas de représentant de la communauté héréditaire et que l’acte introductif d’instance était vicié, à défaut d’autorisation de l’un des héritiers, ce qui conduit à l’irrecevabilité de la demande. De son point de vue, en aucun cas l’autorité pouvait suspendre la procédure litigieuse, puisqu’une procédure ne peut être suspendue que pour autant qu’elle ait été valablement introduite. Par surabondance, le recourant relève que les intimés ont essayé d’obtenir la désignation d’un représentant de la communauté héréditaire et ont échoué ; il n’y a donc aucune raison de suspendre la procédure.</w:t>
      </w:r>
    </w:p>
    <w:p>
      <w:r>
        <w:rPr>
          <w:b/>
        </w:rPr>
        <w:t>E. 4.2.1</w:t>
      </w:r>
    </w:p>
    <w:p>
      <w:r>
        <w:t>Aux termes de l’art. 602 al. 3 CC (Code civil suisse du 10 décembre 1907 ; RS 210), à la demande de l’un des héritiers, l’autorité compétente peut désigner un représentant de la communauté héréditaire jusqu’au moment du partage. S’ils sont plusieurs, les héritiers forment une indivision ; ils sont propriétaires et disposent en commun des biens qui dépendent de la succession, sauf les droits de représentation et d’administration réservés par le contrat ou la loi (art. 602 al. 1 et 2 CC). C’est pourquoi ils ne sauraient en principe agir séparément pour la succession. Ils ne peuvent procéder en règle générale que tous ensemble ou, sinon, par l’intermédiaire d’un représentant (art. 602 al. 3 CC), d’un exécuteur testamentaire (art. 518 CC) ou d’un administrateur officiel (art. 554 CC). D’après la jurisprudence, une exception n’est possible qu’en cas d’urgence. L’intervention rapide peut notamment être nécessaire pour sauvegarder des droits attachés à l’observation d’un délai ou pour empêcher la réalisation d’un dommage (Guinant/Stettler/Leuba, Droit des successions, 6 e éd. 2005, n. 429, p. 206). On présume d’ailleurs que les héritiers qui ne peuvent s’appuyer sur le consentement de leurs cohéritiers agissent au nom de tous ou de la communauté héréditaire (ATF 125 III 219 c. 1a). Si un héritier refuse de consentir à un acte juridique portant sur un bien successoral, il faut désigner un représentant des héritiers conformément à l’art. 602 al. 3 CC, à charge pour celui-ci de prendre une décision appropriée (ATF 125 III 219 c. 1c et la référence citée). Les compétences du représentant de la communauté héréditaire sont essentiellement conservatoires : il s’agit de la gestion des affaires courantes de la succession et des rapports avec les tiers (Piotet, Traité de droit privé suisse, tome IV, p. 592 ; Schaufelberger/Keller, Basler Kommentar, 2007, n. 47 ad art. 602 CC ; Escher, Zürcher Kommentar, 1960, n. 81 ad art. 602 CC). Le représentant peut toutefois se voir conférer des pouvoirs spéciaux, limités à certaines affaires déterminées (gestion des immeubles, conduite d’un procès, etc.). Il peut aussi se voir attribuer un pouvoir général de gérer la succession (Steinauer, Le droit des successions, 2006, n. 1224 ad art. 602 CC). En particulier, et ce par analogie avec les pouvoirs de l’exécuteur testamentaire, le juge peut, à la requête d’un héritier, autoriser le représentant à procéder à des avances (Steinauer, op. cit., n. 1180a ad art. 602 CC ; Rouiller, Commentaire du droit des successions, Berne 2012, n. 105 ad art. 602 CC).</w:t>
      </w:r>
    </w:p>
    <w:p>
      <w:r>
        <w:rPr>
          <w:b/>
        </w:rPr>
        <w:t>E. 4.2.2</w:t>
      </w:r>
    </w:p>
    <w:p>
      <w:r>
        <w:t>Au moment du dépôt de la requête en annulation de la résiliation du 26 mai 2014, la communauté héréditaire n’avait pas de représentant. La requête fait mention de l’ensemble des héritiers, tous trois représentés par l’avocat Jacques Micheli. Or un des héritiers, K.________, a contesté par la suite avoir donné mandat au mandataire qui a agi en justice. L’intervention d’un représentant de la communauté héréditaire a posteriori pouvait en l’espèce paraître utile, puisqu’il y a un désaccord des héritiers sur la question de la contestation de la résiliation du bail dont leur mère défunte était titulaire. Il s’agissait ici de sauvegarder un délai et l’on sait que la nomination d’un représentant officiel de l’hoirie ne pouvait intervenir à temps, vu le désaccord de l’un des héritiers. Ainsi, il convenait d’agir pour l’ensemble de la communauté pour sauvegarder un droit de celle-ci – le consentement de l’ensemble des héritiers étant présumé dans un tel cas de figure – puis d’entamer la procédure en désignation d’un représentant de la communauté. Reste que la requête de mesures provisionnelles qui tendait à la désignation d’un représentant de la communauté héréditaire a été rejetée, par ordonnance du 23 septembre 2014. Compte tenu de ce résultat, il n’y avait pas lieu d’impartir aux requérants un délai pour qu’ils agissent au fond, puisque ce n’est que si le juge accorde les mesures requises qu’il fixe au requérant un délai pour introduire l’instance, sous peine de caducité des mesures ordonnées (art. 263 CPC ; Bohnet, CPC commenté, n.</w:t>
      </w:r>
    </w:p>
    <w:p>
      <w:r>
        <w:rPr>
          <w:b/>
        </w:rPr>
        <w:t>E. 8</w:t>
      </w:r>
    </w:p>
    <w:p>
      <w:r>
        <w:t>ad art. 263 CPC). Tel n’est pas le cas en l’espèce, puisque la requête de mesures provisionnelles du 7 juillet 2014 a été rejetée, le premier juge ayant estimé que les intérêts de la succession n’étaient pas mis en péril par la résiliation du bail et que la nomination d’un représentant de la communauté héréditaire ne se justifiait pas – sans qu’il n’apparaisse, à la lecture des actes de la cause, que cette ordonnance ait fait l’objet d’un appel. Compte tenu de ce paramètre, il n’était pas justifié de suspendre la procédure devant la Commission de conciliation. 5. Au regard de ce qui précède, le recours doit être admis et l’ordonnance réformée en ce sens que la suspension de la cause ordonnée le 7 octobre 2014 est annulée. Selon l’art. 106 al. 1 CPC, les frais sont mis à la charge de la partie succombante. L’intimée K.________ ayant appuyé le recours, on ne saurait dire que la décision attaquée est modifiée à son détriment (cf. Corboz et alii, op. cit. n. 38 ad art. 66 LTF). Dès lors, les frais judiciaires de deuxième instance, arrêtés à 955 fr. (art. 70 al. 2 TFJC [tarif des frais judiciaires civils du 28 septembre 2010 ; RSV 270.11.5]), seront mis à la charge des intimés A.X.________ et B.X.________, qui succombent, solidairement entre eux. Vu l’issue du litige, les intimés verseront en outre au recourant des dépens de deuxième instance (art. 95 al. 1 let. b CPC), fixés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1'005 fr. (art. 8 TDC). Dès lors, les intimés verseront au recourant, solidairement entre eux, un montant arrondi à 2'000 fr. à titre de dépens et de restitution de frais de deuxième instance (art. 111 al. 2 CPC). Par ces motifs, la Chambre des recours civile du Tribunal cantonal, statuant à huis clos, prononce : I. Le recours est admis. II. L’ordonnance est réformée en ce sens que la suspension de la cause ordonnée le 7 octobre 2014 est annulée. III. Les frais judiciaires de deuxième instance, arrêtés à 955 fr. (neuf cent cinquante-cinq francs), sont mis à la charge des intimés A.X.________ et B.X.________, solidairement entre eux. IV. Les intimés A.X.________ et B.X.________, solidairement entre eux, doivent verser au recourant Q.________ la somme de 2'000 fr. (deux mille francs) à titre de dépens et de restitution d’avance de frais de deuxième instance. V. L’arrêt motivé est exécutoire. Le président :               Le greffier : Du 15 janvier 2015 Le dispositif de l'arrêt qui précède est communiqué par écrit aux intéressés. Le greffier : Du L'arrêt qui précède, dont la rédaction a été approuvée à huis clos, est notifié en expédition complète, par l'envoi de photocopies, à : ‑ Me Jean Cavalli (pour Q.________), ‑ Me Jacques Micheli (pour A.X.________ et B.X.________), - Mme K.________. La Chambre des recours civile considère que la valeur litigieuse est de 65'520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Préfecture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