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978 vom 30. September 2015</w:t>
      </w:r>
    </w:p>
    <w:p>
      <w:r>
        <w:t>VD Tribunal cantonal, 2015-09-30, FR</w:t>
      </w:r>
    </w:p>
    <w:p>
      <w:r>
        <w:rPr>
          <w:b/>
        </w:rPr>
        <w:t xml:space="preserve">Quelle: </w:t>
      </w:r>
      <w:r>
        <w:t>https://mcp.opencaselaw.ch/entscheid/vd_findinfo_HC___2015___978</w:t>
      </w:r>
    </w:p>
    <w:p>
      <w:r>
        <w:t>FR: VD_FINDINFO HC / 2015 / 978 du 30 septembre 2015</w:t>
      </w:r>
    </w:p>
    <w:p>
      <w:r>
        <w:t>IT: VD_FINDINFO HC / 2015 / 978 del 30 settembre 2015</w:t>
      </w:r>
    </w:p>
    <w:p>
      <w:pPr>
        <w:pStyle w:val="Heading2"/>
      </w:pPr>
      <w:r>
        <w:t>Regeste</w:t>
      </w:r>
    </w:p>
    <w:p>
      <w:r>
        <w:t>DROIT D'ÊTRE ENTENDU, AUTORITÉ DE RECOURS, POUVOIR D'EXAMEN, DÉCISION DE RENVOI | 29 al. 2 Cst., 29 Cst., 320 CPC (CH), 320 let. b CPC (CH)</w:t>
      </w:r>
    </w:p>
    <w:p>
      <w:pPr>
        <w:pStyle w:val="Heading2"/>
      </w:pPr>
      <w:r>
        <w:t>Erwägungen</w:t>
      </w:r>
    </w:p>
    <w:p>
      <w:r>
        <w:rPr>
          <w:b/>
        </w:rPr>
        <w:t>E. 1</w:t>
      </w:r>
    </w:p>
    <w:p>
      <w:r>
        <w:t>Selon l’art. 319 let. b CPC, le recours est ouvert contre les ordonnances d’instruction et les décisions autres que finales, incidentes ou provisionnelles de première instance, en particulier dans les cas prévus par la loi (ch. 1). Tel est le cas en l’espèce, l’art. 103 CPC ouvrant expressément le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LOJV [loi d’organisation judiciaire du 12 décembre 1979 ; RSV 173.01]). Déposé en temps utile par une partie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Bâle 2013, n. 1 ad art. 320 CPC).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(Jeandin, CPC commenté, op. cit., n. 5 et 6 ad art. 320 CPC, p. 1276 ; Corboz, Commentaire de la LTF, 2 e éd., Berne 2014, n. 27 ad art. 97 LTF, p. 1117).</w:t>
      </w:r>
    </w:p>
    <w:p>
      <w:r>
        <w:rPr>
          <w:b/>
        </w:rPr>
        <w:t>E. 3.1</w:t>
      </w:r>
    </w:p>
    <w:p>
      <w:r>
        <w:t>Le recourant se plaint tout d’abord d’une violation de son droit d’être entendu, sous l’angle d’une violation de son droit de réplique. Il allègue que le juge ne lui a pas transmis la prise de position de la partie adverse avant de rendre son prononcé le 23 avril 2015. Quant à l’intimée, elle soutient que son conseil a envoyé copie de sa prise de position au conseil du recourant et qu’au surplus, cette détermination n’a pas influé sur le prononcé entrepris.</w:t>
      </w:r>
    </w:p>
    <w:p>
      <w:r>
        <w:rPr>
          <w:b/>
        </w:rPr>
        <w:t>E. 3.2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 3d/aa). Ce moyen doit par conséquent être examiné en premier lieu (ATF 124 I 49 ; SJ 1998 403) et avec un plein pouvoir d’examen (ATF 127 III 193 c. 3 et la jurisprudence citée). Le droit d'être entendu comprend le droit pour le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124 I 49 consid. 3a; ATF 124 I 241 consid. 2 ; ATF 122 I 53 consid. 4a et les arrêts cités ; CREC 29 octobre 2013/323 consid. 3.1.2). Avant de rendre son jugement, l’autorité doit ainsi communiquer aux parties toute prise de position nouvelle versée au dossier – que celle-ci contienne ou non des éléments nouveaux et qu’elle soit ou non susceptible concrètement d’influer sur le jugement à rendre – pour permettre à celles-ci de décider si elles veulent ou non faire usage de leur faculté de se déterminer (ATF 139 I 189 consid. 3.2 ; TF 5A_263/2013 du 13 août 2013 consid. 2.1 et les réf. citées). Si le tribunal n’a pas communiqué ces actes, mais que ceux-ci se trouvent dans le dossier judiciaire, l’instance de recours ne peut pas guérir la violation du droit d’être entendu par le simple renvoi à la possibilité de consulter le dossier (ATF 137 I 195, SJ 2011 I 345 consid. 2). Lorsque le droit de procédure prévoit un seul échange d’écritures, l’autorité peut se limiter à transmettre pour information les écritures des parties, sans renvoyer formellement le destinataire à son droit de réplique. Si celui-ci ne réagit pas dans un délai approprié, l’autorité peut admettre qu’il a renoncé à son droit de réplique (ATF 133 I 98, ATF 132 I 42), du moins si on peut attendre de la partie qu’elle prenne position immédiatement sans y avoir été invitée, ce qui est le cas lorsqu’elle est assistée d’un avocat (ATF 138 I 484, rés. In JdT 2014 I 32 ; TF 5A_538/2010 du 3 novembre 2010, in RSPC 2011 p. 145, note de Bohnet, qui souligne que la partie non assistée doit être rendue attentive à son droit de réplique). En revanche, s’il requiert immédiatement à réception d’une écriture la fixation d’un délai de détermination, le tribunal doit y donner suite, sous peine de violer le droit d’être entendu (ATF 133 I 100). Le droit de réplique n’est pas assuré par le seul fait qu’une partie a adressé par confraternité (Kollegenkopie) une copie de son acte à l’autre. Le délai pour répliquer spontanément ne part que de l’envoi de l’acte par le tribunal (TF 4A_660/2012 du 18 avril 2013 c. 2.2, in RSPC 2013 p. 291 note Bohnet).</w:t>
      </w:r>
    </w:p>
    <w:p>
      <w:r>
        <w:rPr>
          <w:b/>
        </w:rPr>
        <w:t>E. 3.3</w:t>
      </w:r>
    </w:p>
    <w:p>
      <w:r>
        <w:t>En l’espèce, à la lecture du procès-verbal des opérations de la cause, on constate qu’aucune mention n’est faite d’une éventuelle transmission au recourant des déterminations de la partie adverse du 12 mars 2015 sur sa requête en fourniture de sûretés, comme l’intéressé l’affirme par ailleurs à l’appui de son recours. La partie adverse ne le conteste au demeurant pas. Le fait qu’une copie des déterminations aurait été adressée au recourant par le conseil de l’intimée ne suffit pas à réparer le vice. Il s’ensuit, conformément à la jurisprudence rappelée sous consid. 3.2 supra , que le droit d’être entendu du recourant a été violé, ce qui implique une annulation du prononcé entrepris, comme requis à titre principal par le recourant, sans qu’il ne se justifie d’examiner les griefs subsidiaires invoqués à l’appui du recours. L’annulation s’impose par ailleurs, dès lors qu’un vice découlant de la violation du droit d’être entendu ne peut être réparé devant la Chambre des recours civile du Tribunal cantonal, puisque celle-ci ne dispose pas du même pouvoir de cognition que le premier juge et qu’elle ne peut revoir les faits que sous l’angle de l’arbitraire (art. 320 let. b CPC ; CREC 7 août 2012/259 consid. 4b). Or, en l’espèce, le recours porte précisément sur des questions de fait, susceptibles d’avoir une influence sur l’objet du litige, lesquelles ne peuvent faire ici que l’objet d’un examen restreint.</w:t>
      </w:r>
    </w:p>
    <w:p>
      <w:r>
        <w:rPr>
          <w:b/>
        </w:rPr>
        <w:t>E. 4.1</w:t>
      </w:r>
    </w:p>
    <w:p>
      <w:r>
        <w:t>Au final, le recours doit être admis et le prononcé entrepris annulé, la cause étant renvoyée au Juge délégué de la Chambre patrimoniale cantonale pour nouvelle décision dans le sens des considérants.</w:t>
      </w:r>
    </w:p>
    <w:p>
      <w:r>
        <w:rPr>
          <w:b/>
        </w:rPr>
        <w:t>E. 4.2</w:t>
      </w:r>
    </w:p>
    <w:p>
      <w:r>
        <w:t>Les frais judiciaires de deuxième instance, arrêtés à 500 fr. (art. 69 al. 1 TFJC [tarif des frais judiciaires civils du 28 septembre 2010 ; RSV 270.11.5]), sont mis à la charge de l’intimée M.________SA, qui succombe (art. 106 al. 1 CPC). L’intimée versera ainsi au recourant la somme de 500 fr. à titre de restitution de l’avance de frais fournie par ce dernier (art. 111 al. 2 CPC).</w:t>
      </w:r>
    </w:p>
    <w:p>
      <w:r>
        <w:rPr>
          <w:b/>
        </w:rPr>
        <w:t>E. 4.3</w:t>
      </w:r>
    </w:p>
    <w:p>
      <w:r>
        <w:t>Vu l’issue du litige, l’intimée M.________SA versera au recourant R.________ la somme de 1'500 fr. à titre de dépens (art. 8 TDC [tarif des dépens en matière civile du 23 novembre 2010, RSV 270.11.6]). Par ces motifs, la Chambre des recours civile du Tribunal cantonal, prononce : I. Le recours est admis. II. Le prononcé est annulé. III. La cause est renvoyée au Juge délégué de la Chambre patrimoniale cantonale pour nouvelle décision dans le sens des considérants. IV. Les frais judiciaires de deuxième instance, arrêtés à 500 fr. (cinq cents francs), sont mis à la charge de l’intimée M.________SA. V. L’intimée M.________SA doit verser au recourant R.________ la somme de 2'000 fr. (deux mille francs) à titre de dépens et de restitution d’avance de frais de deuxième instance. VI. L’arrêt motivé est exécutoire. Le président :               La greffière : Du 1 er octobre 2015 Le dispositif de l'arrêt qui précède est communiqué par écrit aux intéressés. La greffière : Du L'arrêt qui précède, dont la rédaction a été approuvée à huis clos, est notifié en expédition complète, par l'envoi de photocopies, à : ‑ Me Tony Donnet-Monay (pour R.________), ‑ Me Valentin Schumacher (pour M.________SA).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