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973 vom 26. Oktober 2015</w:t>
      </w:r>
    </w:p>
    <w:p>
      <w:r>
        <w:t>VD Tribunal cantonal, 2015-10-26, FR</w:t>
      </w:r>
    </w:p>
    <w:p>
      <w:r>
        <w:rPr>
          <w:b/>
        </w:rPr>
        <w:t xml:space="preserve">Quelle: </w:t>
      </w:r>
      <w:r>
        <w:t>https://mcp.opencaselaw.ch/entscheid/vd_findinfo_HC___2015___973</w:t>
      </w:r>
    </w:p>
    <w:p>
      <w:r>
        <w:t>FR: VD_FINDINFO HC / 2015 / 973 du 26 octobre 2015</w:t>
      </w:r>
    </w:p>
    <w:p>
      <w:r>
        <w:t>IT: VD_FINDINFO HC / 2015 / 973 del 26 ottobre 2015</w:t>
      </w:r>
    </w:p>
    <w:p>
      <w:pPr>
        <w:pStyle w:val="Heading2"/>
      </w:pPr>
      <w:r>
        <w:t>Regeste</w:t>
      </w:r>
    </w:p>
    <w:p>
      <w:r>
        <w:t>EXTRAIT DU REGISTRE, POURSUITE POUR DETTES, RÉPUTATION, ACTION NÉGATOIRE | 28 CC, 8a LP, 261 CPC (CH)</w:t>
      </w:r>
    </w:p>
    <w:p>
      <w:pPr>
        <w:pStyle w:val="Heading2"/>
      </w:pPr>
      <w:r>
        <w:t>Erwägungen</w:t>
      </w:r>
    </w:p>
    <w:p>
      <w:r>
        <w:rPr>
          <w:b/>
        </w:rPr>
        <w:t>E. 1.1</w:t>
      </w:r>
    </w:p>
    <w:p>
      <w:r>
        <w:t>L'appel est recevable contre les décisions de première instance sur les mesures provisionnelles dans les affaires patrimoniales dont la valeur litigieuse au dernier état des conclusions est de 10'000 fr. au moins (art. 308 al. 1 let. b et al. 2 CPC [Code de procédure civile du 19 décembre 2008; RS 272]). Il n'est pas contesté que tel soit le cas en l'espèce.</w:t>
      </w:r>
    </w:p>
    <w:p>
      <w:r>
        <w:rPr>
          <w:b/>
        </w:rPr>
        <w:t>E. 1.2</w:t>
      </w:r>
    </w:p>
    <w:p>
      <w:r>
        <w:t>L'ordonnance querellée a été rendue en application de la procédure sommaire (art. 248 let. d CPC). Par conséquent, l'appel, écrit et motivé, doit être introduit auprès du Juge délégué de la Cour d'appel civile (art. 84 al. 2 LOJV [Loi d'organisation judiciaire du 12 décembre 1979; RSV 173.01]) dans les dix jours à compter de la notification de la décision (art. 311 al. 1 et 314 al. 1 CPC). Interjeté en temps utile, par une partie qui y a un intérêt, l'appel est recevable.</w:t>
      </w:r>
    </w:p>
    <w:p>
      <w:r>
        <w:rPr>
          <w:b/>
        </w:rPr>
        <w:t>E. 2.1</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 in SJ 2013 I 311).</w:t>
      </w:r>
    </w:p>
    <w:p>
      <w:r>
        <w:rPr>
          <w:b/>
        </w:rPr>
        <w:t>E. 2.2</w:t>
      </w:r>
    </w:p>
    <w:p>
      <w:r>
        <w:t>En l'espèce, l'appelant a produit en appel des pièces (P16 à 24), dont l'intimé soutient − à l'exception de la dernière sur laquelle il ne s'est pas déterminé − qu'elles seraient toutes irrecevables. L'extrait internet de [...] Sàrl (P16), la déclaration d' [...] du 21 juillet 2015 (P22) et l'attestation des membres du conseil de gérance de [...] Sàrl du même jour (P23) auraient toutes pu être produites en première instance, respectivement, s'agissant des deux dernières, obtenues antérieurement de manière à être produites en première instance, de sortes qu'elles sont irrecevables. Les pièces 17 à 21 et 24 sont en revanche recevables. L'intimé a également produit de son côté un extrait d'un article du magazine [...] du 14 août 2015 concernant l'appelant, qui est recevable.</w:t>
      </w:r>
    </w:p>
    <w:p>
      <w:r>
        <w:rPr>
          <w:b/>
        </w:rPr>
        <w:t>E. 3.1</w:t>
      </w:r>
    </w:p>
    <w:p>
      <w:r>
        <w:t>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2011, n. 4 ad art. 261 CPC, p. 1019 et les réf. cit.).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Selon l'art. 262 CPC, le tribunal peut ordonner toute mesure provisionnelle propre à prévenir ou à faire cesser le préjudice.</w:t>
      </w:r>
    </w:p>
    <w:p>
      <w:r>
        <w:rPr>
          <w:b/>
        </w:rPr>
        <w:t>E. 3.2</w:t>
      </w:r>
    </w:p>
    <w:p>
      <w:r>
        <w:t>Toute mesure provisionnelle présuppose la nécessité d'une protection immédiate en raison d'un danger imminent menaçant ses droits (Hohl, Procédure civile, tome II, 2 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consid. 6.3; Hohl, op. cit., n. 176, p. 323).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w:t>
      </w:r>
    </w:p>
    <w:p>
      <w:r>
        <w:rPr>
          <w:b/>
        </w:rPr>
        <w:t>E. 4.1</w:t>
      </w:r>
    </w:p>
    <w:p>
      <w:r>
        <w:t>L'appelant reproche au premier juge d'avoir violé l'art. 261 CPC, en relation avec l'art. 151 CPC, en considérant, d'une part, que "la réputation [de l'appelant], passablement médiatisée et dont il ne se cach[ait] pas, é[tait] notoire et qu'elle a[vait] été entachée indépendamment de la poursuite intentée par l'intimé le 4 août 2014", et, d'autre part, qu'il n'avait pas rendu vraisemblable que l'atteinte alléguée risquait de lui causer un préjudice difficilement réparable.</w:t>
      </w:r>
    </w:p>
    <w:p>
      <w:r>
        <w:rPr>
          <w:b/>
        </w:rPr>
        <w:t>E. 4.2</w:t>
      </w:r>
    </w:p>
    <w:p>
      <w:r>
        <w:t>L'art. 28 CC (Code civil suisse du 10 décembre 1907; RS 210) dispose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instaure une protection de celui qui subit une atteinte illicite à sa personnalité. Toute personne a droit au respect de sa dignité humaine et à la considération de ses semblables; la protection englobe la réputation professionnelle et économique qui comprend le crédit. Il a ainsi été jugé que l'ouverture d'une poursuite qui ne vise pas le recouvrement d'une créance, mais qui a essentiellement pour but de porter atteinte au crédit de la personne poursuivi, constitue une atteinte à l'honneur de cette personne (Steinauer/Fountoulakis, Droit des personnes physique et de la protection de l'adulte, 2014, pp. 188 s et les réf. cit.; Jeandin, Commentaire romand, Code civil I, 2010, n. 36 ad art. 28 CC). Lorsque la poursuite est restée au stade de l'opposition parce que le créancier n'a pas ouvert action en reconnaissance de dette ni requis la mainlevée d'opposition, le débiteur dispose, à défaut de l'action de l'art. 85a LP (Loi fédérale sur la poursuite pour dettes et la faillite du 11 avril 1889; RS 281.1), de l'action générale en constatation de l'inexistence de la créance fondant la poursuite, dont le jugement, s'il constate la nullité de celle-ci, a pour effet d'empêcher sa communication aux tiers en application de l'art. 8a al. 3 let. a LP (ATF 132 III 277 consid. 4.2; ATF 128 III 334; TF 4A_399/2011 du 19 octobre 2011 consid. 3.1). La recevabilité de cette action négatoire de droit est subordonnée à l'existence d'un intérêt digne de protection à ce que soit levée l'incertitude juridique qui règne dans les relations juridiques nées entre les parties. Peut se prévaloir d'un tel intérêt à la constatation immédiate de la situation de droit la partie dont on ne peut exiger qu'elle tolère plus longtemps le maintien de cette incertitude, parce que celle-ci l'entrave dans sa liberté de décision, en portant singulièrement atteinte à sa réputation (ATF 135 III 378 consid. 2.2 p. 380). S'agissant de l'inconvénient généré par l'inscription de la poursuite au registre tenu par l'office, le Tribunal fédéral a jugé qu'une inscription porte atteinte au crédit et à la réputation du poursuivi, indépendamment du bien-fondé ou du mal-fondé de la poursuite, s'il s'agit de grosses sommes, et pas seulement de poursuites isolées pour de faibles montants (ATF 120 II 20 consid. 3b, JdT 1995 I 130). Dans un arrêt récent destiné à la publication, le Tribunal fédéral a assoupli les conditions formelles d'admissibilité de l'action négatoire. Dans cet arrêt, le Tribunal fédéral a jugé qu'un intérêt digne de protection du prétendu débiteur doit être admis sans autres conditions, en principe, lorsque la créance litigieuse fait l'objet d'une poursuite. Ainsi, la preuve concrète que la personne concernée est entravée par la poursuite dans le libre exercice de son activité économique n'est plus exigée (TF 4A_414/2014 du 16 janvier 2015). Dans la mesure où le débiteur rend vraisemblable que la poursuite intentée par le créancier porte atteinte à sa réputation et à son crédit de manière illicite – notamment parce que la poursuite est utilisée comme moyen de contrainte (TF 6S_853/2000 du 9 mai 2001 consid. 4c; TF 6B_281/2013 du 16 juillet 2013 consid. 1.1.2) ou qu'elle a été introduite dans le dessein de nuire à la réputation et au crédit du débiteur (cf. supra) –, il peut agir par la voie des mesures provisionnelles de l'art. 261 CC pour obtenir, sans devoir attendre l'issue de l'action négatoire de droit précitée, que la poursuite en question ne soit pas communiquée à des tiers. Le risque d'un préjudice difficilement réparable doit dans un tel cas être admis en application du principe d'expérience selon lequel un tel risque découle directement de l'inscription au registre d'une poursuite pour de grosses sommes.</w:t>
      </w:r>
    </w:p>
    <w:p>
      <w:r>
        <w:rPr>
          <w:b/>
        </w:rPr>
        <w:t>E. 4.3.1</w:t>
      </w:r>
    </w:p>
    <w:p>
      <w:r>
        <w:t>En l'espèce, il ressort des éléments du dossier que la poursuite intentée par l'intimé ne vise vraisemblablement pas à sauvegarder des intérêts légitimes, soit le recouvrement d'une créance. En effet, l'intimé n'a pas requis la mainlevée de l'opposition formée par l'appelant, ni intenté contre lui une action en reconnaissance de dette ou encore donné suite à la proposition de ce dernier de renoncer à se prévaloir de la prescription. Par ailleurs, il convient de relever que le bien-fondé de la créance de l'intimé à l'égard de l'appelant est douteux, celui-ci n'étant pas partie à l'accord litigieux et aucune autre cause d'obligation n'ayant été rendue vraisemblable par l'intimé. La question de la prescription de l'action de l'intimé se pose également dans la mesure où celui-ci n'a fait valoir ses droits à l'encontre de l'appelant qu'en 2014, alors qu'il réclame, dans le cadre de la poursuite, des intérêts à partir du 12 janvier 2002 déjà. Le fait que "la réputation [de l'appelant], passablement médiatisée et dont il ne se cache pas, est notoire et qu'elle a été entachée indépendamment de la poursuite intentée par l'intimé le 4 août 2014", comme le retient le premier juge, n'est pas pertinent en l'espèce, dès lors que l'atteinte au crédit invoquée par l'appelant à l'appui de sa requête de mesures provisionnelles est une conséquence directe de la poursuite litigieuse : en l'absence d'inscription de la poursuite litigieuse, cette atteinte n'existerait pas, ou en tout cas pas dans la même mesure, l'appelant ne faisant pas l'objet d'autres poursuites d'un montant important contrairement à ce qu'a soutenu l'intimé. Enfin, comme l'a relevé l'appelant, sa condamnation pénale ne fait pas de lui un mauvais payeur, celle-ci ne fournissant aucun renseignement sur sa solvabilité, contrairement à l'inscription d'une poursuite pour plusieurs millions de francs. Ainsi, l'appelant rend vraisemblable que la poursuite a été introduite par l'intimé à son encontre dans le but de nuire à sa réputation. L'absence d'intérêt légitime et le caractère douteux de sa prétention trahissent en effet le caractère abusif de sa démarche. L'atteinte illicite à la personnalité de l'appelant peut par conséquent être retenue au stade de la vraisemblance.</w:t>
      </w:r>
    </w:p>
    <w:p>
      <w:r>
        <w:rPr>
          <w:b/>
        </w:rPr>
        <w:t>E. 4.3.2</w:t>
      </w:r>
    </w:p>
    <w:p>
      <w:r>
        <w:t>L'appelant, homme d'affaires dans le domaine minier, rend également vraisemblable que l'inscription de la poursuite litigieuse risque de lui causer un préjudice difficilement réparable en entravant notamment son accès au crédit. En effet, l'inscription d'une poursuite portant sur plusieurs millions de francs comporte pour une personne active dans les affaires comme l'appelant, milieu où la réputation sur le plan de la solvabilité joue un rôle décisif, le risque que des tiers viennent à mettre en doute sa réputation rendant ainsi difficile, voire impossible, l'obtention d'un crédit ou la conclusion de contrats. Relevons encore que c'est à juste titre que l'appelant soutient que l'obtention de preuves dans ce domaine, soit par exemple l'attestation d'une régie immobilière indiquant les raisons pour lesquelles elle refuse d'attribuer le bail à la personne, sont particulièrement difficiles à établir.</w:t>
      </w:r>
    </w:p>
    <w:p>
      <w:r>
        <w:rPr>
          <w:b/>
        </w:rPr>
        <w:t>E. 4.3.3</w:t>
      </w:r>
    </w:p>
    <w:p>
      <w:r>
        <w:t>S'agissant de la mise en balance des intérêts contradictoires, qui implique de pondérer les désavantages respectifs pour le requérant et pour l'intimé selon que la mesure requise est ordonnée ou refusée, force est de constater que le rejet de la conclusion II de l'appelant – seule maintenue en appel, et qui tend à inviter l'Office des poursuites de [...] à ne pas porter à la connaissance de tiers la poursuite n° [...] introduite par l'intimé à l'encontre de l'appelant jusqu'à droit jugé au fond – est de nature à lui causer un préjudice difficilement réparable, tandis que l'intimé ne soutient pas que l'admission de cette conclusion serait de nature à entraîner un préjudice pour lui-même.</w:t>
      </w:r>
    </w:p>
    <w:p>
      <w:r>
        <w:rPr>
          <w:b/>
        </w:rPr>
        <w:t>E. 4.4</w:t>
      </w:r>
    </w:p>
    <w:p>
      <w:r>
        <w:t>Il résulte de ce qui précède qu'il y a lieu de faire droit à la conclusion II de l'appelant en ce sens que l'Office des poursuites de Genève est invité à ne pas porter à la connaissance de tiers la poursuite n° [...] introduite par l'intimé jusqu'à droit connu sur le sort de l'action au fond intentée par l'appelant. A cet égard, l'art. 263 CPC dispose que si l'action au fond n'est pas encore pendante, le tribunal impartit au requérant un délai pour le dépôt de la demande, sous peine de caducité des mesures ordonnées. En l'espèce, l'appelant avait introduit dans le même acte du 14 avril 2015 une requête de mesures provisionnelles et une action négatoire de droit. Le</w:t>
      </w:r>
    </w:p>
    <w:p>
      <w:r>
        <w:rPr>
          <w:b/>
        </w:rPr>
        <w:t>E. 6</w:t>
      </w:r>
    </w:p>
    <w:p>
      <w:r>
        <w:t>mai 2015, il a toutefois informé le juge délégué de la Chambre patrimoniale cantonale que la demande au fond devait être considérée comme une requête de conciliation adressée à ce magistrat. Toutefois, dès lors que les mesures provisionnelles sont admises et que selon l'art. 198 let. h CPC, la procédure de conciliation n'a pas lieu lorsque le tribunal a fixé un délai pour le dépôt de la demande (Bohnet, CPC commenté, op. cit., n. n. 30 ad art. 198 CPC), il y a lieu de fixer à l'appelant un délai pour déposer une demande au fond, sous peine de caducité des mesures ordonnées, étant précisé que si la Chambre patrimoniale cantonale devait considérer qu'elle a été saisie au fond par l'action négatoire de droit contenue dans l'acte du 14 avril 2015, cet acte vaudrait demande en validation des mesures provisionnelles. 5. En définitive, l'appel, fondé, doit être admis et l'ordonnance entreprise réformée dans le sens des considérants. Vu l'issue du litige sur les conclusions prises en première instance, les frais et dépens de la procédure de première instance seront répartis à raison de deux cinquièmes pour l'appelant et de trois cinquièmes pour l'intimé. Ainsi, l'intimé versera à l'appelant la somme de 300 fr. à titre de dépens réduits − les pleins dépens de part et d'autre étant estimés à 1'500 fr. − et 1'500 fr. à titre de restitution partielle d'avance de frais de première instance. L'intimé, qui succombe, supportera les frais judiciaires de deuxième instance (art. 106 al. 1 CPC), lesquels doivent être arrêtés à 3'000 fr. (art. 65 al. 1 et 3 TFJC [tarif du 28 septembre 2010 des frais judiciaires civils; RSV 270.11.5]). Il versera en outre à l'appelant un montant de 2'000 fr. à titre de dépens et un montant de 3'000 fr. à titre de restitution de l'avance de frais de deuxième instance (art. 111 al. 1 CPC). Par ces motifs, le Juge délégué de la Cour d'appel civile du Tribunal cantonal prononce : I. L'appel est admis. II. L'ordonnance est réformée comme il suit : I. La requête de mesures provisionnelles déposée par T.________ à l'encontre de P.________ le 14 avril 2015 est partiellement admise. II. L'Office des poursuites de Genève est invité à ne pas porter à la connaissance de tiers la poursuite n° [...] introduite par P.________ à l'encontre de T.________ jusqu'à droit connu sur le sort de l'action au fond intentée par T.________. III. Un délai au 31 janvier 2015 est imparti à T.________ pour intenter action au fond, à moins que la Chambre patrimoniale cantonale ne considère être déjà saisie d'une demande au fond. IV. Les mesures provisionnelles ordonnées sous chiffre II ci-dessus seront caduques si elles ne sont pas validées par une demande au fond conformément au chiffre III ci-dessus. V. Les frais judiciaires de la procédure provisionnelle, arrêtés à 2'500 fr. (deux mille cinq cents francs), sont mis à la charge de T.________ pour deux cinquièmes, soit 1'000 fr. (mille francs) et de P.________ pour trois cinquièmes, soit 1'500 fr. (mille cinq cents francs). VI. P.________ doit verser à T.________ une indemnité de 1'800 fr. (mille huit cents francs) à titre de dépens réduits et de restitution partielle d'avance de frais. III. Les frais judiciaires de deuxième instance, arrêtés à 3'000 fr. (trois mille francs), sont mis à la charge de l'intimé P.________. IV. L'intimé P.________ doit verser à l'appelant T.________ une indemnité de 5'000 fr. (cinq mille francs) à titre de dépens et de restitution d'avance de frais de deuxième instance. V. L'arrêt est exécutoire. Le juge délégué : La greffière: Du L'arrêt qui précède, dont la rédaction a été approuvée à huis clos, est notifié à : ‑ Me Pierre Ducret (pour T.________), ‑ Me Christian Van Gessel (pour 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