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949 vom 9. September 2015</w:t>
      </w:r>
    </w:p>
    <w:p>
      <w:r>
        <w:t>VD Tribunal cantonal, 2015-09-09, FR</w:t>
      </w:r>
    </w:p>
    <w:p>
      <w:r>
        <w:rPr>
          <w:b/>
        </w:rPr>
        <w:t xml:space="preserve">Quelle: </w:t>
      </w:r>
      <w:r>
        <w:t>https://mcp.opencaselaw.ch/entscheid/vd_findinfo_HC___2015___949</w:t>
      </w:r>
    </w:p>
    <w:p>
      <w:r>
        <w:t>FR: VD_FINDINFO HC / 2015 / 949 du 9 septembre 2015</w:t>
      </w:r>
    </w:p>
    <w:p>
      <w:r>
        <w:t>IT: VD_FINDINFO HC / 2015 / 949 del 9 settembre 2015</w:t>
      </w:r>
    </w:p>
    <w:p>
      <w:pPr>
        <w:pStyle w:val="Heading2"/>
      </w:pPr>
      <w:r>
        <w:t>Regeste</w:t>
      </w:r>
    </w:p>
    <w:p>
      <w:r>
        <w:t>PREMIÈRE INSTANCE, FRAIS JUDICIAIRES, DÉPENS | 106 al. 1 CPC (CH), 95 CPC (CH)</w:t>
      </w:r>
    </w:p>
    <w:p>
      <w:pPr>
        <w:pStyle w:val="Heading2"/>
      </w:pPr>
      <w:r>
        <w:t>Erwägungen</w:t>
      </w:r>
    </w:p>
    <w:p>
      <w:r>
        <w:rPr>
          <w:b/>
        </w:rPr>
        <w:t>E. 1</w:t>
      </w:r>
    </w:p>
    <w:p>
      <w:r>
        <w:t>a) L'art. 110 CPC ouvre la voie du recours séparé de l’art. 319 let. b ch. 1 CPC (Code de procédure civile du 19 décembre 2008 ; RS 272) contre les décisions sur les frais, lesquels comprennent les frais judiciaires et les dépens (art. 95 al. 1 let. a et b CPC). Le recours, écrit et motivé, doit s’exercer dans un délai de trente jours à compter de la notification de la décision motivée (art. 321 al. 1 CPC). S’il est vrai que, contrairement à l’appel, le recours au sens des art. 319 ss CPC déploie avant tout un effet cassatoire, le recourant ne peut pas se limiter à conclure à l’annulation de la décision attaquée, mais doit prendre des conclusions au fond, sous peine d’irrecevabilité du recours, afin de permettre à l’autorité de recours de statuer à nouveau dans le cas où les conditions de l’art. 327 al. 3 let. b CPC sont réunies (CREC 2 juin 2014/190 ;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 citées ; CREC 11 juillet 2014/238). b) En l’espèce, la recourante, qui dispose d’un intérêt digne de protection (art. 59 al. 2 let. a CPC), a formé son recours dans le délai légal de trente jours. Bien que la recourante présente des conclusions sous forme de pourcentages, soit des conclusions non chiffrées, l'autorité de céans est à même de statuer en fonction de ces conclusions, de sorte que le recours doit être déclaré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La recourante soutient qu'elle a conclu au paiement de la somme de 3'588 fr. selon la décision litigieuse et que l'intimé a conclu au paiement de la somme de 3'500 fr. pour dommage et intérêt au cours de la procédure de conciliation. Elle en déduit qu'elle n'a succombé que partiellement, de sorte que les frais de justice doivent être répartis proportionnellement et que chaque partie doit garder ses dépens. b) Les dépens sont une indemnité de procédure mise à la charge d’un plaideur en faveur de l’autre pour le dédommager des dépenses ou du manque à gagner occasionnés par le procès (Tappy, CPC commenté, Bâle 2011, n. 21 ad art. 95 CPC). Ils comprennent les débours nécessaires (art. 95 CPC al. 3 let. a CPC) et le défraiement d’un représentant professionnel (art. 95 al. 3 let. b CPC) au sens de l’art. 68 CPC. Ils sont fixés selon le tarif du 23 novembre 2010 des dépens en matière civile (TDC ; RSV 270.11.6). Dans les contestations portant sur des affaires patrimoniales, le défraiement est fixé selon le type de procédure en considération de l’importance de la cause, de ses difficultés, de l’ampleur du travail et du temps consacré par l’avocat ou l’agent d’affaires breveté (art. 3 al. 2 TDC). Le défraiement de l'agent d'affaires breveté en matière de procédure simplifiée dont la valeur litigieuse est comprise entre 2'001 fr. à 5'000 fr. se situe entre 600 fr. et 1'350 fr. (art. 10 TDC). Le juge peut toutefois fixer des dépens inférieurs au taux minimum lorsqu’il y a une disproportion manifeste entre la valeur litigieuse et l’intérêt des parties au procès ou entre le taux applicable selon le tarif et le travail effectif de l’avocat ou de l'agent d'affaires breveté (art. 20 al. 2 TDC). Les frais sont mis à la charge de la partie succombante. La partie succombante est le demandeur lorsque le tribunal n'entre pas en matière et en cas de désistement d'action ; elle est le défendeur en cas d'acquiescement (art. 106 al. 1 CPC). Le tribunal peut s'écarter des règles générales et répartir les frais selon sa libre appréciation lorsque des circonstances particulières rendent la répartition en fonction du sort de la cause inéquitable (art. 107 al. 1 let. f CPC). Les frais judiciaires qui ne sont pas imputables aux parties ni aux tiers peuvent être mis à la charge du canton si l'équité l'exige (art. 107 al. 2 CPC). c) En l'espèce, la recourante et demanderesse au fond a déposé une requête le 28 mai 2014, en sollicitant le paiement du montant de 3'588 francs. L'intimé et défendeur au fond a déposé une réponse le 10 septembre 2014, en concluant au rejet des conclusions prises par la demanderesse. La recourante ne conteste pas que sa requête a été entièrement rejetée par le premier juge, n'ayant pas été en mesure de prouver le bien-fondé de ses créances à l'encontre de l'intimé. Ainsi, contrairement à ce qu'elle soutient, la recourante n'a pas partiellement succombé, mais entièrement succombé. C'est donc à juste titre que les frais judiciaires de première instance ont été mis à sa charge et que des dépens ont été alloués à la partie adverse.</w:t>
      </w:r>
    </w:p>
    <w:p>
      <w:r>
        <w:rPr>
          <w:b/>
        </w:rPr>
        <w:t>E. 4</w:t>
      </w:r>
    </w:p>
    <w:p>
      <w:r>
        <w:t>Il s'ensuit que le recours doit être rejeté selon le mode procédural de l'art. 322 al. 1 CPC et la décision entreprise confirmée. Les frais judiciaires de deuxième instance, arrêtés à 200 fr. (art. 69 al. 1 TFJC [tarif des frais judiciaires en matière civile du 28 septembre 2010 ; RSV 270.11.5]), sont mis à la charge de la recourante, qui succombe (art. 106 al. 1 CPC). Il n'est pas alloué de dépens à l'intimé, dès lors que celui-ci n'a pas été invité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X.________. IV. L'arrêt motivé est exécutoire. Le président :               La greffière : Du 10 septembre 2015 Le dispositif de l'arrêt qui précède est communiqué par écrit aux intéressés. La greffière : Du L'arrêt qui précède, dont la rédaction a été approuvée à huis clos, est notifié en expédition complète, par l'envoi de photocopies, à : ‑ X.________ ‑ M. Jacques Lauber, aab (pour Y.________) La Chambre des recours civile considère que la valeur litigieuse est de 2'167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