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948 vom 6. November 2015</w:t>
      </w:r>
    </w:p>
    <w:p>
      <w:r>
        <w:t>VD Tribunal cantonal, 2015-11-06, FR</w:t>
      </w:r>
    </w:p>
    <w:p>
      <w:r>
        <w:rPr>
          <w:b/>
        </w:rPr>
        <w:t xml:space="preserve">Quelle: </w:t>
      </w:r>
      <w:r>
        <w:t>https://mcp.opencaselaw.ch/entscheid/vd_findinfo_HC___2015___948</w:t>
      </w:r>
    </w:p>
    <w:p>
      <w:r>
        <w:t>FR: VD_FINDINFO HC / 2015 / 948 du 6 novembre 2015</w:t>
      </w:r>
    </w:p>
    <w:p>
      <w:r>
        <w:t>IT: VD_FINDINFO HC / 2015 / 948 del 6 novembre 2015</w:t>
      </w:r>
    </w:p>
    <w:p>
      <w:pPr>
        <w:pStyle w:val="Heading2"/>
      </w:pPr>
      <w:r>
        <w:t>Regeste</w:t>
      </w:r>
    </w:p>
    <w:p>
      <w:r>
        <w:t>PROTECTION DE L'UNION CONJUGALE, RELATIONS PERSONNELLES | 273 al. 1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CPC ([Code de procédure civile Suisse du 19 décembre 2008 ; RS 272] ; Tappy, Les voies de droit du nouveau Code de procédure civile, JT 2010 III 121), dans les causes non patrimoniales ou dont la valeur litigieuse est supérieure à 10’000 fr. (art. 308 al. 2 CPC). Les ordonnances de mesures protectrices étant régies par la procédure sommaire, selon l’art. 271 CPC, le délai pour l’introduction de l’appel est de dix jours (art. 314 al. 1 CPC). En l’espèce, formé en temps utile par une partie qui y a intérêt (art. 59 al.</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ibid., p. 134). Elle peut revoir l’appréciation des faits sur la base des preuves administrées en première instance (Tappy, ibid., p. 135). Le large pouvoir d’examen en fait et en droit ainsi défini s’applique même si la décision est de nature provisionnelle (JT 2011 III 43; Tappy, ibid., p. 136).</w:t>
      </w:r>
    </w:p>
    <w:p>
      <w:r>
        <w:rPr>
          <w:b/>
        </w:rPr>
        <w:t>E. 3</w:t>
      </w:r>
    </w:p>
    <w:p>
      <w:r>
        <w:t>L’appelant reproche au premier juge d’avoir fixé le droit de visite durant les vacances sans tenir compte de l’intérêt des enfants. À l’appui de son grief, il se livre à un décompte des jours passés par ces derniers auprès de leurs parents respectifs pour démontrer que la répartition qu’il avait proposée dans sa requête de mesures superprovisionnelles d’extrême urgence et de mesures provisionnelles du 15 juin 2015 serait plus conforme à leur intérêt.</w:t>
      </w:r>
    </w:p>
    <w:p>
      <w:r>
        <w:rPr>
          <w:b/>
        </w:rPr>
        <w:t>E. 3.1</w:t>
      </w:r>
    </w:p>
    <w:p>
      <w:r>
        <w:t>Lorsque les époux ont des enfants mineurs, le juge règle les relations personnelles entre le parent non gardien et l'enfant, dans le cadre de l'organisation de la vie séparée des conjoints, en se basant sur les dispositions régissant les effets de la filiation (art. 176 al. 3 CC [Code civil suisse du 10 décembre 1907 ; RS 210]). L'art. 273 al. 1 CC en particulier prévoit que le père ou la mère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2010, n. 20 ad art. 176 CC ; TF 5A_826/2009 du 22 mars 2010 consid. 2.1). Pour prendre une telle décision, le juge des mesures protectrices dispose d’un large pouvoir d’appréciation au sens de l’art. 4 CC et fait application du principe de proportionnalité (Chaix, op. cit ., nn. 1 et 20 ad art. 176 CC). En matière de mesures protectrices de l’union conjugale, le juge n’examine la cause que de manière sommaire et se contente de la vraisemblance de la preuve des faits (TF 5A_860/2009 du 26 mars 2010 consid. 1.3). Il suffit donc que les faits soient rendus plausibles (TF 5A_340/2008 du 12 août 2008 consid. 3.1).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consid. 5.1.2 ; TF 5A_716/2010 du 23 février 2011 consid. 4 et les références citées, FamPra.ch 2011 p. 491; ATF 131 III 209 consid. 5; ATF 123 III 445 consid. 3b). Le droit aux relations personnelles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consid. 4a; ATF 123 III 445 consid.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de son état de santé, de ses loisirs, etc. La notion que l'enfant a du temps – selon son âge – est également importante: ainsi, de fréquentes rencontres de quelques heures peuvent être plus appropriées pour des enfants en bas âge que des week-ends entiers (Leuba, Commentaire romand, nn. 14s ad art. 273 CC). Des conditions particulières pour l'exercice du droit de visite peuvent en outre être imposées (Hegnauer, op. cit., n. 19.16, p. 114).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donc que si la décision a été prise sur la base de circonstances qui ne jouent aucun rôle selon l’esprit de la loi, ou si des aspects essentiels ont été ignorés (TF 5A_49/2008 du 19 août 2008 consid. 3.3 et la jurisprudence citée).</w:t>
      </w:r>
    </w:p>
    <w:p>
      <w:r>
        <w:rPr>
          <w:b/>
        </w:rPr>
        <w:t>E. 3.2</w:t>
      </w:r>
    </w:p>
    <w:p>
      <w:r>
        <w:t>En l’espèce, le premier juge a retenu que la proposition de répartition des vacances faite par l’appelant dans sa requête du 15 juin 2015, si elle respectait certes une répartition par moitié du nombre total des semaines de vacances en faveur de chacun des parents, priverait toutefois les enfants d’une saine présence alternée de leur père et de leur mère durant les vacances. Il a en outre tenu compte des obligations professionnelles respectives des parents, de même que des liens que les enfants entretiennent en Italie, tant avec leurs grands-parents paternels qu’avec les enfants de cette région. L’appréciation des circonstances telle que faite par le premier juge ne prête pas le flanc à la critique et doit être confirmée. En effet, l’appelant, qui ne soulève aucun grief valable démontrant que la solution préconisée par le premier juge serait inadéquate, se livre de manière mal venue à une arithmétique fine des moments passés par les enfants auprès de leur père et de leur mère. Or, le système retenu par le premier juge est conforme à l’intérêt des enfants puisqu’il permet un bon équilibre dans leur prise en charge durant les vacances scolaires. Cette répartition tient en outre compte des disponibilités des deux parents, notamment des obligations professionnelles de l’appelant. Le grief, mal fondé, doit être rejeté.</w:t>
      </w:r>
    </w:p>
    <w:p>
      <w:r>
        <w:rPr>
          <w:b/>
        </w:rPr>
        <w:t>E. 5</w:t>
      </w:r>
    </w:p>
    <w:p>
      <w:r>
        <w:t>En définitive, l’appel doit être rejeté selon le mode procédural de l’art. 312 al. 1 CPC et l’ordonnance confirmée. Compte tenu du rejet de l’appel, les frais judiciaires de deuxième instance, arrêtés à 600 fr. (art. 65 al. 2 et 4 TFJC [tarif des frais judiciaires civils du 28 septembre 2010 ; RSV 270.11.5]), sont mis à la charge de l’appelant qui succombe (art. 106 al. 1 CPC). L'intimée n’a pas été invitée à se déterminer de sorte qu’il n’y a pas lieu à l’allocation de dépens. Par ces motifs, le Juge délégué de la Cour d’appel civile du Tribunal cantonal, statuant en application de l'art. 312 al. 1 CPC, prononce : I. L’appel est rejeté. II. L’ordonnance est confirmée. III. Les frais judiciaires de deuxième instance, arrêtés à 600 fr. (six cents francs), sont mis à la charge de l’appelant. IV. L’arrêt motivé est exécutoire. Le juge délégué : La greffière : Du</w:t>
      </w:r>
    </w:p>
    <w:p>
      <w:r>
        <w:rPr>
          <w:b/>
        </w:rPr>
        <w:t>E. 9</w:t>
      </w:r>
    </w:p>
    <w:p>
      <w:r>
        <w:t>novembre 2015 Le dispositif de l'arrêt qui précède est communiqué par écrit aux intéressés. La greffière : Du L'arrêt qui précède, dont la rédaction a été approuvée à huis clos, est notifié en expédition complète, par l'envoi de photocopies, à : ‑ M. F.________, ‑ Me Julien Gafner,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