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937 vom 19. Oktober 2015</w:t>
      </w:r>
    </w:p>
    <w:p>
      <w:r>
        <w:t>VD Tribunal cantonal, 2015-10-19, FR</w:t>
      </w:r>
    </w:p>
    <w:p>
      <w:r>
        <w:rPr>
          <w:b/>
        </w:rPr>
        <w:t xml:space="preserve">Quelle: </w:t>
      </w:r>
      <w:r>
        <w:t>https://mcp.opencaselaw.ch/entscheid/vd_findinfo_HC___2015___937</w:t>
      </w:r>
    </w:p>
    <w:p>
      <w:r>
        <w:t>FR: VD_FINDINFO HC / 2015 / 937 du 19 octobre 2015</w:t>
      </w:r>
    </w:p>
    <w:p>
      <w:r>
        <w:t>IT: VD_FINDINFO HC / 2015 / 937 del 19 ottobre 2015</w:t>
      </w:r>
    </w:p>
    <w:p>
      <w:pPr>
        <w:pStyle w:val="Heading2"/>
      </w:pPr>
      <w:r>
        <w:t>Regeste</w:t>
      </w:r>
    </w:p>
    <w:p>
      <w:r>
        <w:t>STAGE, CONTRAT DE TRAVAIL, FORMATION{EN GÉNÉRAL} | 322 al. 1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2.3</w:t>
      </w:r>
    </w:p>
    <w:p>
      <w:r>
        <w:t>En l'espèce, l'ensemble des pièces produites par l'appelante – sous réserve des pièces 1 et 2 – faisaient déjà partie du dossier de première instance, de sorte que leur recevabilité n'a pas à être réexaminée. Les pièces 1 et 2 (extrait internet actualisé du registre du commerce concernant la Q.________SA [1] et avis de mutation du registre du commerce concernant cette société publié le 17 mars 2015 [2]), postérieures à la clôture des débats de première instance, sont recevables et seront prises en considération dans la mesure utile (cf. ch. 1 supra et c. 5 infra).</w:t>
      </w:r>
    </w:p>
    <w:p>
      <w:r>
        <w:rPr>
          <w:b/>
        </w:rPr>
        <w:t>E. 3</w:t>
      </w:r>
    </w:p>
    <w:p>
      <w:r>
        <w:t>L'appelante remet en cause la qualification juridique des rapports contractuels retenue par les premiers juges – à savoir un contrat mixte avec prédominance des éléments du contrat de travail ordinaire – et considère qu'il s'agit d'un contrat sui generis , correspondant à un contrat de stage de formation professionnelle. Elle reproche à l'autorité de première instance d'avoir établi les faits de manière inexacte en retenant que l'intimé aurait été employé en qualité de manœuvre en carrosserie. Elle fait valoir que cette appréciation serait contraire aux résultats de l'instruction et irait à l'encontre des explications fournies par les parties elles-mêmes, chacune ayant confirmé que l'intimé avait été engagé en tant que "peintre en carrosserie en formation".</w:t>
      </w:r>
    </w:p>
    <w:p>
      <w:r>
        <w:rPr>
          <w:b/>
        </w:rPr>
        <w:t>E. 3.1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consid. 2.1; Brunner/Bühler/Waeber/Bruchez, Commentaire du contrat de travail, 3 e éd., n. 1 ad art. 319 CO). Selon le principe de la liberté contractuelle, le salaire est fixé librement entre les parties, sauf convention collective, contrat-type ou dispositions impératives de droit public contraires. Ce n'est que dans l'hypothèse où aucun salaire n'est convenu que le salaire usuel doit être versé (Wyler/Heinzer, Droit du travail, 3 e éd., 2014, pp. 139 ss).</w:t>
      </w:r>
    </w:p>
    <w:p>
      <w:r>
        <w:rPr>
          <w:b/>
        </w:rPr>
        <w:t>E. 3.2</w:t>
      </w:r>
    </w:p>
    <w:p>
      <w:r>
        <w:t>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 2.1 et les références citées). Cette formation professionnelle dure trois ou quatre ans et s’achève en général par un examen de fin d’apprentissage qui donne droit au certificat fédéral de capacité (art. 17 al. 3 LFPr [loi fédérale sur la formation professionnelle du 13 décembre 2002; RS 412.10]) En pratique, il existe d'autres formes de contrats de formation (Streiff/Von Kaenel/Rudolph, Arbeitsvertrag,</w:t>
      </w:r>
    </w:p>
    <w:p>
      <w:r>
        <w:rPr>
          <w:b/>
        </w:rPr>
        <w:t>E. 3.3</w:t>
      </w:r>
    </w:p>
    <w:p>
      <w:r>
        <w:t>La dénomination d’un contrat n’est pas déterminante pour évaluer sa nature juridique (ATF 131 III 217 consid. 3; ATF 129 III 664 consid. 3.1; TF 4C.66/2006 du 28 juin 2006 consid.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consid. 2.3.2; ATF 131 III 606 consid. 4.1). Le principe de la confiance permet d’imputer à une partie, même lorsqu’il ne correspond pas à sa volonté intime, le sens objectif de sa déclaration ou de son comportement (ATF 135 III 410).</w:t>
      </w:r>
    </w:p>
    <w:p>
      <w:r>
        <w:rPr>
          <w:b/>
        </w:rPr>
        <w:t>E. 3.4</w:t>
      </w:r>
    </w:p>
    <w:p>
      <w:r>
        <w:t>En l'espèce, comme l'ont retenu les premiers juges, le bas salaire convenu entre les parties (1'650 fr. par mois), tenait compte du fait que l'intimé devait bénéficier d'une formation professionnelle prodiguée par l'appelante, ce que cette dernière avait expressément souligné lors de la conclusion du contrat. Titulaire d'un CAP français en réparation de carrosseries, l'intimé ne bénéficiait en effet d'aucune formation en tant que "carrossier-peintre". Engagé à ce titre par l'appelante, afin de faciliter son intégration dans le marché du travail – sa formation française étant jugée insuffisante – il devait donc se former dans ce domaine, comme l'ont confirmé les témoins W.________ et B.H.________ (ce dernier ayant expressément indiqué que le demandeur avait été engagé en tant que "peintre en carrosserie en formation" pour une durée d'une année, afin d'augmenter ses chances d'obtenir ensuite un emploi en qualité de peintre). Au demeurant, rien n'indique que l'intimé se serait opposé à la formation professionnelle de carrossier-peintre mise en avant par l'appelante au moment de son engagement. Son unique expérience en matière de carrosserie (cf. infra), ne permet d'ailleurs pas de déduire qu'il aurait été engagé à ce titre. Dès lors, on peut admettre, sur la base des témoignages précités, que la volonté réelle et commune des parties était de fournir à l'intimé une formation de carrossier-peintre permettant d'augmenter ses chances sur le marché suisse de l'emploi, comme le retient également le jugement entrepris. En revanche, contrairement à l'appréciation des premiers juges, on ne saurait retenir que l'intimé fournissait en réalité un travail de manœuvre en carrosserie à plein temps. Au contraire, il résulte de l'instruction que Z.________ formait l'intéressé aux travaux de peinture, comme cela était convenu, travaux pour lesquels l'intimé n'avait pas d'expérience (cf. témoignage de K.________). Une fois ces tâches terminées, il arrivait à l'intimé d'assister K.________ dans ses travaux de carrosserie. Toutefois, comme l'a confirmé ce témoin, sous réserve d'un véhicule remonté par l'intimé en son absence, ce dernier n'effectuait pas de travail de tôlier de manière indépendante. A l'exception de ce cas isolé, l'affirmation de l'appelant, selon laquelle il aurait régulièrement effectué des travaux de carrosserie, n'est ainsi corroborée par aucun élément du dossier. Par ailleurs, l'attestation établie par l'appelante le 14 juin 2013 à la demande du père de l'intimé, afin de lui permettre de percevoir des allocations familiales pour son fils, ne constitue pas un élément déterminant s'agissant de la qualification juridique des rapports contractuels entre les parties (cf. c. 3.3 supra). D'autre part, on ne saurait exiger des parties qu'elles apprécient la portée juridique des expressions et dénominations dont elles se sont servies pour décrire le contrat. De plus et surtout, il est manifeste que cette attestation, mentionnant que l'intimé était "carrossier-peintre", ne correspondait pas à la réalité, puisque l'intimé était en formation de carrossier-peintre, ce que les parties n'ont d'ailleurs jamais contesté. Pour le même motif, les termes de "manœuvre peintre en carrosserie", employés dans le certificat de travail remis à l'intimé, ne sont pas déterminants, dès lors qu'ils ne font aucune mention de la formation prodiguée à l'intéressé. Pour le surplus, on ne discerne pas en quoi l'augmentation de salaire consentie par l'appelante à l'intimé en novembre 2013 – alors que ce dernier venait de faire part à Z.________ de ses difficultés financières, ce qui n'est pas contesté (cf. déterminations de l'intimé du 16 mars 2015 ad allégué 90) – serait pertinente pour qualifier le contrat. Enfin, l'octroi d'un délai de congé à l'intimé ne permet pas d'exclure que les parties étaient liées par un contrat de stage professionnel, dont la résiliation, contrairement au contrat d'apprentissage, intervient de manière ordinaire (cf. Portmann, op. cit., n. 17 ad art. 344 CO). Au vu de ce qui précède, l'appréciation des premiers juges, selon laquelle le contrat conclu dès le 1 er mai 2013, comportant à la fois des éléments de travail et des éléments de formation, présentait une prédominance des éléments relevant du contrat de travail, justifiant ainsi qu'un salaire usuel soit alloué à l'intimé, ne saurait être confirmée. Même en admettant l'existence d'un contrat mixte, force est de constater que l'élément prédominant serait la formation professionnelle dispensée à l'intimé, sous la forme d'un stage pratique destiné à lui permettre d'acquérir des compétences et une expérience professionnelles en tant que carrossier-peintre. Contrairement à un contrat d'apprentissage, l'engagement de l'intimé ne visait pas à ce qu'il acquière une formation systématique et complète (ce qui aurait nécessité quatre ans), mais bien à ce qu'il apprenne le métier de carrossier-peintre pendant environ une année afin d'augmenter ses chances sur le marché suisse du travail (cf. témoignage de B.H.________), son CAP français ne lui permettant pas d'obtenir un emploi de ce type (cf. témoignage de W.________). Partant, il n'était pas prévu que l'appelante dispenserait à l'intimé une formation complète équivalente à un apprentissage, de sorte que le fait qu'elle ne lui ait pas délivré d'attestation de formation n'apparaît pas probant. Rien n'indique, au surplus, que l'on se trouverait dans l'hypothèse d'un travailleur en formation qui ne recevrait pas la formation professionnelle promise par l'employeur, auquel cas le salaire usuel lié à un travail ordinaire pourrait lui être dû (cf. TF 4C.429/1999 du 6 mars 2000 consid. 2; Streiff/Von Kaenel/Rudolph, op. cit., n. 9 ad art. 344a CO). Cela étant, en vertu du principe de la liberté contractuelle, les parties étaient libres de déterminer le salaire adéquat, sous réserve d'une convention collective, d'un contrat-type ou de dispositions impératives de droit public contraires, étant rappelé que ce n'est que dans l'hypothèse où aucun salaire n'est prévu que le salaire usuel doit être versé (cf. c. 3.1 supra). Même en admettant l'existence d'un contrat mixte ou innommé, en l'absence de dispositions impératives de ce type, il y a dès lors lieu de s'en tenir au salaire convenu expressément entre les parties, qui apparaît au surplus adéquat s'agissant de la rémunération d'un stage professionnel. 4. Au vu de ce qui précède, l'appel doit être admis et la demande formée le 14 novembre 2014 rejetée. La valeur litigieuse ne dépassant pas 30'000 fr., le jugement de première instance ainsi que le présent arrêt doivent être rendus sans frais judiciaires (art. 114 let. c CPC; Tappy, CPC commenté, Bâle 2011, n. 1 ad art. 114 CPC). Vu l'issue du litige (art. 106 al. 1 CPC), l'appelante a droit à des dépens de première instance, qu'il convient d'arrêter à 2'800 fr., TVA et débours compris. L'indemnité d'office de Me Yann Jaillet, conseil de l'intimé, est arrêtée à 2'499 fr. 90, TVA et débours compris, pour la procédure de première instance (période du 16 septembre 2014 au 16 mars 2015). Les conditions de l'art. 117 CPC étant réunies, la requête d'assistance judiciaire de l'intimé pour la procédure d'appel est admise, Me Yann Jaillet étant désigné conseil d'office avec effet au 30 juillet 2015, sous réserve d'une franchise mensuelle de 50 fr. mise à la charge de l'intimé dès le 1 er novembre 2015. Sur le vu de la liste des opérations et débours produite, étant rappelé que l'assistance judiciaire est accordée avec effet au 30 juillet 2015, l'indemnité de Me Yann Jaillet, conseil d'office de l'intimé, peut être fixée à un montant de 1'137 fr. 25, comprenant un défraiement de 1'035 fr. (5h45 admises) plus 82 fr. 80 de TVA et le remboursement de ses débours par 18 fr. plus 1 fr. 45 de TVA (art. 2 et 3 RAJ [règlement sur l'assistance judiciaire en matière civile du 7 décembre 2010; RSV 211.02.3]. Le bénéficiaire de l'assistance juridique est, dans la mesure de l'art. 123 CPC, tenu au remboursement de l'indemnité au conseil d'office mise à la charge de l'Etat. Son appel étant admis, l'appelante a droit à des dépens de deuxième instance, arrêtés à 1'600 fr. (art. 7 TDC [tarif des dépens en matière civile du 23 novembre 2010; RS 270.11.6]; art. 122 al. 1 let. d CPC). 5. 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 En l’espèce, le dispositif tel que notifié aux parties le 21 octobre 2015 comprend une inadvertance manifeste en ce sens qu'il s'adresse à Q.________Sàrl (radiée par suite de fusion, cf. ch. 1 et c. 2.3 ci-dessus), alors que l'appel a bien été déposé par la société ayant repris les actifs et passifs de cette entreprise, soit Q.________SA (anciennement [...]). Il convient donc de rectifier d’office le dispositif en application de l’art. 334 al. 1 CPC.</w:t>
      </w:r>
    </w:p>
    <w:p>
      <w:r>
        <w:rPr>
          <w:b/>
        </w:rPr>
        <w:t>E. 7</w:t>
      </w:r>
    </w:p>
    <w:p>
      <w:r>
        <w:t>e éd. 2012, n. 6 ad art. 344a CO). Ainsi, le contrat de stage, non défini par la loi, est un contrat de travail qui a pour particularité d'avoir pour objectif la formation du stagiaire. Contrairement au contrat d'apprentissage, le stage ne vise toutefois pas une formation professionnelle systématique et complète, mais a pour but que le stagiaire puisse réunir des compétences et une expérience professionnelles. Le maître de stage l'y encourage avant tout en lui confiant un travail adéquat et en discutant de manière critique ses prestations (Portmann, Basler Kommentar, Obligationenrecht I, 5 e éd. 2011, n. 17 ad art. 344 CO; Staehlin, Zürcher Kommentar, 1996, n. 8 ad art. 344 CO; Streiff/Von Kaenel/Rudolph, op. cit., n. 6 ad art. 344a CO). Le stage est orienté sur l'aspect pratique du travail, la transmission de connaissances théoriques demeurant en arrière-plan (Streiff/Von Kaenel/Rudolph, op. cit., n. 6 ad art. 344a CO). Un des indices pour conclure à l'existence d'un (simple) contrat de stage est la possibilité de mettre un terme au contrat de formation avec effet ordinaire. A l'inverse, le contrat d'apprentissage est conclu pour une durée déterminée (Portmann, op. cit., n. 17 ad art. 344 CO). Pour le reste, Portmann considère que les dispositions applicables au contrat d'apprentissage doivent s'appliquer mutatis mutandis au contrat de stage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