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927 vom 23. Oktober 2015</w:t>
      </w:r>
    </w:p>
    <w:p>
      <w:r>
        <w:t>VD Tribunal cantonal, 2015-10-23, FR</w:t>
      </w:r>
    </w:p>
    <w:p>
      <w:r>
        <w:rPr>
          <w:b/>
        </w:rPr>
        <w:t xml:space="preserve">Quelle: </w:t>
      </w:r>
      <w:r>
        <w:t>https://mcp.opencaselaw.ch/entscheid/vd_findinfo_HC___2015___927</w:t>
      </w:r>
    </w:p>
    <w:p>
      <w:r>
        <w:t>FR: VD_FINDINFO HC / 2015 / 927 du 23 octobre 2015</w:t>
      </w:r>
    </w:p>
    <w:p>
      <w:r>
        <w:t>IT: VD_FINDINFO HC / 2015 / 927 del 23 ottobre 2015</w:t>
      </w:r>
    </w:p>
    <w:p>
      <w:pPr>
        <w:pStyle w:val="Heading2"/>
      </w:pPr>
      <w:r>
        <w:t>Regeste</w:t>
      </w:r>
    </w:p>
    <w:p>
      <w:r>
        <w:t>JUGEMENT DE DIVORCE, ACTION EN MODIFICATION, DROIT D'HABITATION, PROLONGATION, CONDITION DE RECEVABILITÉ | 121 al. 3 CC, 284 CPC (CH)</w:t>
      </w:r>
    </w:p>
    <w:p>
      <w:pPr>
        <w:pStyle w:val="Heading2"/>
      </w:pPr>
      <w:r>
        <w:t>Erwägungen</w:t>
      </w:r>
    </w:p>
    <w:p>
      <w:r>
        <w:rPr>
          <w:b/>
        </w:rPr>
        <w:t>E. 1</w:t>
      </w:r>
    </w:p>
    <w:p>
      <w:r>
        <w:t>Dans les affaires patrimoniales, l’appel est recevable contre les décisions finales de première instance pour autant que la valeur litigieuse, au dernier état des conclusions devant l’autorité inférieure, soit de 10'000 fr. au moins (art. 308 al. 1 let. a et al. 2 CPC [Code de procédure civile suisse du 19 décembre 2008 ; RS 272]). L’appel, écrit et motivé, doit être introduit dans les trente jours à compter de la notification de la décision motivée (art. 311 al. 1 CPC). En l’espèce, formé en temps utile par une partie qui a un intérêt digne de protection (art. 59 al. 2 let. a CPC), dirigé contre une décision finale d'irrecevabilité et portant sur des conclusions qui, capitalisées selon l’art. 92 al. 2 CPC, sont supérieures à 10'000 fr., le présent appel est recevable.</w:t>
      </w:r>
    </w:p>
    <w:p>
      <w:r>
        <w:rPr>
          <w:b/>
        </w:rPr>
        <w:t>E. 2</w:t>
      </w:r>
    </w:p>
    <w:p>
      <w:r>
        <w:t>et les références).</w:t>
      </w:r>
    </w:p>
    <w:p>
      <w:r>
        <w:rPr>
          <w:b/>
        </w:rPr>
        <w:t>E. 3</w:t>
      </w:r>
    </w:p>
    <w:p>
      <w:r>
        <w:t>a) L'appelante soutient que, contrairement à ce que retient le jugement attaqué, sa demande en modification du jugement de divorce du 23 mars 2015 aurait été déposée en temps utile, sauvegardant ainsi son droit et produisant la litispendance. En l'espèce, dès lors que l'arrêt de la Chambre des recours du Tribunal cantonal du 5 novembre 2010 a été notifié le 23 mars 2011 et qu'il prévoyait un droit d'habitation d'une durée de quatre ans dès jugement définitif et exécutoire, il apparaît que la demande a été déposée en temps utile, si tant est que le jugement entrepris entendait reprocher à l'appelante la tardiveté de sa demande. b) L'appelante fait ensuite valoir que s'agissant du droit d'habitation attribué à l'un des époux, l'ouverture d'une action en modification du jugement de divorce ayant force de chose jugée est possible à teneur de l'art. 284 CPC et que cela aurait dû entraîner la recevabilité de sa demande en modification, compte tenu de l'art. 7 al. 1 ch. 5 CDPJ (Code de droit privé judiciaire vaudois du 12 janvier 2010 ; RSV 211.02). A l'appui de son grief, l'appelante invoque l'art. 121 al. 3 CC (Code civil suisse du 10 décembre 1907 ; RS 210), lequel figure au chapitre III "Des effets du divorce" sous le titre marginal "Logement de la famille". Selon cette disposition, le juge peut attribuer à l'un des époux un droit d'habitation de durée limitée sur le logement de famille qui appartient à l'autre conjoint, moyennant une indemnité équitable ou une déduction équitable de la contribution d'entretien. Lorsque des faits importants l'exigent, le droit d'habitation est restreint ou supprimé. Les conditions de la modification d'une décision entrée en force en matière de divorce sont régies par le droit matériel. L'art 284 al. 1 CPC ne constitue en effet qu'une norme de renvoi aux dispositions de droit matériel, lesquelles admettent, dans certains domaines, la modification d'un jugement de divorce entré en force. S'agissant du droit d'habitation, il est susceptible d'être modifié, au regard de l'art. 121 al. 3 2 e phrase CC, et aurait dû figurer à l'art. 284 CPC (Siehr/Bähler, Basler Kommentar ZPO, 2 e éd, 2013, n. 1 ad art. 284 CPC; Spycher, Berner Kommentar, Tome II, 2012, n. 3 ad art. 284 CPC; Sutter-Somm/Seiler, in Sutter-Somm/Hasenböhler/Leuenberger, ZPO Kommentar, 2 e éd, 2013, n. 6 ad art. 284 CPC). Sur le plan formel, la procédure à suivre diverge selon que les modifications sont contestées (art. 284 al. 3 CPC) ou non (art. 284 al. 2 CPC). Si elles le sont, comme en l'espèce, il faut agir judiciairement sur la base de la procédure applicable à la demande unilatérale en divorce. Les auteurs sont divisés sur la question de savoir quelles sont les dispositions visées par l'art. 284 al. 3 CPC, en particulier s'il s'agit des art. 290 ss CPC dans leur ensemble (Hofmann/Lüscher, Le Code de procédure civile, 2 e éd., 2015, p. 264), de certaines seulement de ces dispositions, notamment les art. 290 et 291 CPC, et/ou encore d'autres dispositions tels que les art. 274 ss CPC (Siehr/Bähler, op. cit., n. 8 ad art. 284 CPC; Sutter-Somm/Seiler, op. cit., n. 32 ad art. 284 CPC; Spycher, op. cit., n. 13-15 ad art. 284 CPC; van de Graaf, Kurzkommentar ZPO, 2010, n. 6 ad art. 284 CPC, laquelle déclare encore les art. 219 ss CPC de la procédure ordinaire applicables, mais à titre supplétif uniquement). Quoi qu'il en soit, au vu de ce qui précède, les premiers juges se devaient de déclarer la demande en modification de divorce recevable sous l'angle de l'art. 284 CPC, la demande en modification ayant du reste à juste titre été déposée au for impératif du domicile de l'une des parties, conformément à l'art. 23 al. 1 CPC, ce que la doctrine unanime confirme (Haldy, CPC commenté, 2010, n. 4 ad art. 23 CPC; Siehr/Bähler, op. cit., n. 13 ad art. 23 CPC; Spycher, op. cit., n. 13 ad art. 23 CPC; Sutter-Somm/Lötscher, in Sutter-Somm/Hasenböhler/ Leuenberger, ZPO Kommentar, 2 e éd, 2013, n. 9 ad art. 23 CPC). Cela s’impose d'autant plus que selon l'arrêt précité de la Chambre des recours du Tribunal cantonal du 5 novembre 2010, la durée du droit d'habitation était en l'espèce liée au montant de la contribution d'entretien (cf. ch. II.VI et II.VII du dispositif de l'arrêt précité). Par conséquent, et contrairement à ce qu'ont retenu les premiers juges, la demande ressortit à la compétence du Tribunal d'arrondissement, conformément à l'art. 7 al. 1 ch. 5 CDPJ. Partant, point n'est besoin d'examiner la question de la compétence sous l'angle de la double pertinence, invoquée par l'appelante à titre subsidiaire.</w:t>
      </w:r>
    </w:p>
    <w:p>
      <w:r>
        <w:rPr>
          <w:b/>
        </w:rPr>
        <w:t>E. 4</w:t>
      </w:r>
    </w:p>
    <w:p>
      <w:r>
        <w:t>Il sied cependant de préciser que l'art. 121 al. 3 CC ne confère qu'un droit d'habitation de durée limitée et que des faits nouveaux importants n'entraînent que la suppression ou la restriction du droit d'habitation, et non la prolongation de celui-ci, ce dont l'autorité de première instance tiendra compte dans la nouvelle décision à intervenir (De Luze/Page/Stoudmann, Droit de la famille, Code annoté, 2013, n. 3.1 ad art. 121 CC; Gloor, Basler Kommentar ZGB I, 5 e éd, 2014, n. 20 ad art. 121 CC; Scyboz, Commentaire romand CC I, 2010, n. 23 ad art. 121 CC).</w:t>
      </w:r>
    </w:p>
    <w:p>
      <w:r>
        <w:rPr>
          <w:b/>
        </w:rPr>
        <w:t>E. 5</w:t>
      </w:r>
    </w:p>
    <w:p>
      <w:r>
        <w:t>Au vu de ce qui précède, il convient d'admettre l'appel et de réformer la décision attaquée en ce sens que la demande du 23 mars 2015 de l'appelante est recevable. S'agissant des frais de première instance, ils sont en principe arrêtés dans la décision finale (art. 104 al. 1 CPC) et peuvent être répartis en cas de décision incidente au sens de l'art. 237 CPC (art. 104 al. 2 CPC). Toutefois, il ne s'agit dans cette dernière hypothèse que d'une faculté. En l'espèce, au vu de l'issue probable de la procédure de première instance, il se justifie que les frais de première instance suivent le sort de la cause au fond. Les frais de deuxième instance, qui sont arrêtés à 700 fr. (art. 69 al. 1 TFJC [tarif des frais judiciaires civils du 28 septembre 2010 ; RSV 270.11.5]), sont mis à la charge de l'intimé qui succombe. Conformément aux art. 7 al. 1 et 20 al. 2 TDC (tarif des dépens en matière civile du 23 novembre 2010 ; RSV 270.11.6) et compte tenu de l'objet limité de l'appel, l'intimé versera à l'appelante la somme de 900 fr. à titre de dépens de deuxième instance. L'intimé restituera également à l'appelante l'avance de frais par 700 fr. que cette dernière a fournie (art. 111 al. 2 CPC) Le dispositif du 26 octobre 2015 ne faisant par erreur pas mention de la restitution de l'avance de frais fournie par l'appelante, il convient de le rectifier d’office en application de l’art. 334 al. 1 CPC et de dire que l'intimé doit verser à l'appelante la somme de 1'600 fr. à titre de restitution d'avance de frais et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