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2015 / 908 vom 1. Oktober 2015</w:t>
      </w:r>
    </w:p>
    <w:p>
      <w:r>
        <w:t>VD Tribunal cantonal, 2015-10-01, FR</w:t>
      </w:r>
    </w:p>
    <w:p>
      <w:r>
        <w:rPr>
          <w:b/>
        </w:rPr>
        <w:t xml:space="preserve">Quelle: </w:t>
      </w:r>
      <w:r>
        <w:t>https://mcp.opencaselaw.ch/entscheid/vd_findinfo_HC___2015___908</w:t>
      </w:r>
    </w:p>
    <w:p>
      <w:r>
        <w:t>FR: VD_FINDINFO HC / 2015 / 908 du 1 octobre 2015</w:t>
      </w:r>
    </w:p>
    <w:p>
      <w:r>
        <w:t>IT: VD_FINDINFO HC / 2015 / 908 del 1 ottobre 2015</w:t>
      </w:r>
    </w:p>
    <w:p>
      <w:pPr>
        <w:pStyle w:val="Heading2"/>
      </w:pPr>
      <w:r>
        <w:t>Regeste</w:t>
      </w:r>
    </w:p>
    <w:p>
      <w:r>
        <w:t>RESPONSABILITÉ DÉLICTUELLE, DÉLAI RELATIF, PRESCRIPTION, CONNAISSANCE, DOMMAGE | 60 al. 1 CO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Il découle des considérants qui précèdent que l’appel, manifestement infondé, doit être rejeté selon le mode procédural de l’art. 312 al. 1 CPC et le jugement confirmé. Les frais judiciaires de deuxième instance, qui doivent être arrêtés à 1'491 fr. (art. 62 al. 1 TFJC [tarif des frais judiciaires civils du 28 septembre 2010 ; RSV 270.11.5]), seront mis à la charge des appelants qui succombent (art. 106 al. 1 CPC). Il n’y a pas lieu d’allouer de dépens, dès lors que les intimés n'ont pas été invités à se déterminer sur l’appel.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