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90 vom 5. Januar 2015</w:t>
      </w:r>
    </w:p>
    <w:p>
      <w:r>
        <w:t>VD Tribunal cantonal, 2015-01-05, FR</w:t>
      </w:r>
    </w:p>
    <w:p>
      <w:r>
        <w:rPr>
          <w:b/>
        </w:rPr>
        <w:t xml:space="preserve">Quelle: </w:t>
      </w:r>
      <w:r>
        <w:t>https://mcp.opencaselaw.ch/entscheid/vd_findinfo_HC___2015___90</w:t>
      </w:r>
    </w:p>
    <w:p>
      <w:r>
        <w:t>FR: VD_FINDINFO HC / 2015 / 90 du 5 janvier 2015</w:t>
      </w:r>
    </w:p>
    <w:p>
      <w:r>
        <w:t>IT: VD_FINDINFO HC / 2015 / 90 del 5 gennaio 2015</w:t>
      </w:r>
    </w:p>
    <w:p>
      <w:pPr>
        <w:pStyle w:val="Heading2"/>
      </w:pPr>
      <w:r>
        <w:t>Regeste</w:t>
      </w:r>
    </w:p>
    <w:p>
      <w:r>
        <w:t>DOMMAGE IRRÉPARABLE, SUREXPERTISE, DÉCISION D'IRRECEVABILITÉ | 319 let. b ch. 2 CPC (CH)</w:t>
      </w:r>
    </w:p>
    <w:p>
      <w:pPr>
        <w:pStyle w:val="Heading2"/>
      </w:pPr>
      <w:r>
        <w:t>Erwägungen</w:t>
      </w:r>
    </w:p>
    <w:p>
      <w:r>
        <w:rPr>
          <w:b/>
        </w:rPr>
        <w:t>E. 2</w:t>
      </w:r>
    </w:p>
    <w:p>
      <w:r>
        <w:t>CHAMBRE DES RECOURS CIVILE _________________________________________ Arrêt du</w:t>
      </w:r>
    </w:p>
    <w:p>
      <w:r>
        <w:rPr>
          <w:b/>
        </w:rPr>
        <w:t>E. 5</w:t>
      </w:r>
    </w:p>
    <w:p>
      <w:r>
        <w:t>Par acte du 19 décembre 2014, X.________ a recouru contre le prononcé du 8 décembre 2014 en concluant, avec suite de frais et dépens, principalement à sa réforme en ce sens qu’une seconde expertise immobilière de la parcelle n o [...] de la commune de A.________ est ordonnée, M. [...] étant désigné pour procéder à ladite expertise, subsidiairement M. [...], subsidiairement à son annulation, la cause étant renvoyée au Tribunal pour qu’il soit statué sur la question de la nouvelle expertise dans le sens des considérants.</w:t>
      </w:r>
    </w:p>
    <w:p>
      <w:r>
        <w:rPr>
          <w:b/>
        </w:rPr>
        <w:t>E. 6</w:t>
      </w:r>
    </w:p>
    <w:p>
      <w:r>
        <w:t>Aux termes de l’art. 319 CPC (Code de procédure civile du 19 décembre 2008 ;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est dirigé contre un refus d’ordonner une seconde expertise, qui constitue une ordonnance d’instruction en ce qu'elle se rapporte à la préparation et à la conduite des débats et statue sur l'opportunité et les modalités de l'administration des preuves (Jeandin, CPC Commenté, Bâle 2011, n. 14 ad art. 319 CPC, p. 1272). Le recours, écrit et motivé, s'exerce dans un délai de dix jours pour les ordonnances d'instruction, à moins que la loi n’en dispose autrement (art. 321 al. 2 CPC). Le recours contre le refus d’ordonner une seconde expertise n’étant pas prévu par la loi, la recevabilité du recours est subordonnée à un délai de dix jours au sens de l’art. 321 al. 2 CPC – lequel a été respecté, compte tenu des féries de Noël (art. 145 al. 1 let. c CPC) – et à l’existence d'un préjudice difficilement réparable au regard de l'art. 319 let. b ch. 2 CPC (JT 2011 III 86 c. 3).</w:t>
      </w:r>
    </w:p>
    <w:p>
      <w:r>
        <w:rPr>
          <w:b/>
        </w:rPr>
        <w:t>E. 7</w:t>
      </w:r>
    </w:p>
    <w:p>
      <w:r>
        <w:t>a) La notion de préjudice difficilement réparable est plus large que celle de dommage irréparable de l'art. 93 al. 1 let. a LTF (loi du 17 juin 2005 sur le Tribunal fédéral ; RS 173.110), puisqu'elle devrait viser également les désavantages de fait (JT 2011 III 86 c. 3 et références ; CREC 20 avril 2012/148). La question de savoir s'il existe un préjudice difficilement réparable s'apprécie par rapport aux effets de la décision incidente sur la cause principale, respectivement la procédure principale (ATF 137 III 380 c. 1.2.2 ; TF 4A_560/2011 du 11 janvier 2012 c.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n. 22 ad art. 319 CPC, p. 1274 et références ; CREC 22 mars 2012/117). En outre, un préjudice irréparable de nature juridique ne doit pas pouvoir être ultérieurement réparé ou entièrement réparé par une décision finale favorable au recourant (ATF 134 III 188 c. 2.1 et c. 2.2). La condition du préjudice difficilement réparable est réalisée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encore dans le cas de la mise en œuvre d'une expertise qui pourrait causer une augmentation importante des frais de la procédure (Blickenstorfer, Schweizerische Zivilprozessordnung, Brunner/Gasser/Schwander Hrsg, 2011, n. 39 ad art. 319 CPC, p. 1815 ; CREC 10 avril 2014/131). Les ordonnances d’instruction ne déploient ni autorité ni force de chose jugée et peuvent en conséquence être modifiées ou complétées en tout temps (Jeandin, op. cit., n. 14 ad art. 319 CPC). En principe, le refus d'ordonner une deuxième expertise ne constitue pas une décision susceptible d’entraîner un préjudice difficilement réparable et doit être contesté dans le cadre du recours ou de l'appel contre la décision finale (CREC 28 mars 2014/116 ; CREC 18 février 2014/67 ; CREC 3 septembre 2013/274 ; CREC 14 février 2013/55). b) En l’espèce, le grief de la recourante selon lequel le refus d’ordonner une deuxième expertise à ce stade impliquera des frais de procédure et un important allongement de celle-ci n’est pas un préjudice difficilement réparable. En effet, outre le fait que l’éventuel préjudice momentané est susceptible d’être ultérieurement réparé ou entièrement réparé par une décision qui est favorable à la recourante, celle-ci conserve la possibilité de contester la valeur probante de l’expertise dans le cadre de la procédure au fond.</w:t>
      </w:r>
    </w:p>
    <w:p>
      <w:r>
        <w:rPr>
          <w:b/>
        </w:rPr>
        <w:t>E. 8</w:t>
      </w:r>
    </w:p>
    <w:p>
      <w:r>
        <w:t>Il s’ensuit que le recours doit être déclaré irrecevable dans la procédure de l’art. 322 al. 1 CPC et le prononcé entrepris confirmé. L'arrêt est rendu sans frais judiciaires (art. 10 TFJC [tarif des frais judiciaires en matière civile du 28 septembre 2010 ; RSV 270.11.5]). Les intimés n'ayant pas été invités à se déterminer, ils n'ont pas droit à des dépens.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Me Jean-Samuel Leuba (pour X.________) ‑ Me Bernard Katz (pour A.Y.________ et B.Y.________)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