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893 vom 26. August 2015</w:t>
      </w:r>
    </w:p>
    <w:p>
      <w:r>
        <w:t>VD Tribunal cantonal, 2015-08-26, FR</w:t>
      </w:r>
    </w:p>
    <w:p>
      <w:r>
        <w:rPr>
          <w:b/>
        </w:rPr>
        <w:t xml:space="preserve">Quelle: </w:t>
      </w:r>
      <w:r>
        <w:t>https://mcp.opencaselaw.ch/entscheid/vd_findinfo_HC___2015___893</w:t>
      </w:r>
    </w:p>
    <w:p>
      <w:r>
        <w:t>FR: VD_FINDINFO HC / 2015 / 893 du 26 août 2015</w:t>
      </w:r>
    </w:p>
    <w:p>
      <w:r>
        <w:t>IT: VD_FINDINFO HC / 2015 / 893 del 26 agosto 2015</w:t>
      </w:r>
    </w:p>
    <w:p>
      <w:pPr>
        <w:pStyle w:val="Heading2"/>
      </w:pPr>
      <w:r>
        <w:t>Regeste</w:t>
      </w:r>
    </w:p>
    <w:p>
      <w:r>
        <w:t>EXPERT, EXPERTISE, RÉCUSATION, DOMMAGE IRRÉPARABLE, DÉCISION D'IRRECEVABILITÉ | 158 al. 1 CPC (CH), 183 al. 2 CPC (CH), 321 al. 2 CPC (CH), 47 al. 1 let. f CPC (CH), 50 al. 2 CPC (CH)</w:t>
      </w:r>
    </w:p>
    <w:p>
      <w:pPr>
        <w:pStyle w:val="Heading2"/>
      </w:pPr>
      <w:r>
        <w:t>Erwägungen</w:t>
      </w:r>
    </w:p>
    <w:p>
      <w:r>
        <w:rPr>
          <w:b/>
        </w:rPr>
        <w:t>E. 1</w:t>
      </w:r>
    </w:p>
    <w:p>
      <w:r>
        <w:t>Le recours est dirigé principalement contre une décision de première instance refusant de nommer un deuxième expert, implicitement pour qu’il procède à une nouvelle expertise à la suite d’une première expertise hors procès, soit d’une preuve à futur au sens de l’art. 158 CPC et, subsidiairement, contre une décision de refus de récuser le premier expert.</w:t>
      </w:r>
    </w:p>
    <w:p>
      <w:r>
        <w:rPr>
          <w:b/>
        </w:rPr>
        <w:t>E. 1.1</w:t>
      </w:r>
    </w:p>
    <w:p>
      <w:r>
        <w:t>Une décision portant uniquement sur la question de savoir si un complément, voire une nouvelle expertise, doivent être ordonnés afin de compléter une expertise hors procès déjà rendue, ne saurait être considérée comme une décision de refus d’expertise hors procès. En effet, il s’agit de savoir si, dans le cadre d’une procédure déjà en cours, doivent être ordonnées d’autres mesures d’instruction que celles initialement prises. Dans cette mesure, il s’agit d’une autre décision en matière de preuve au sens de l’art. 319 let. b CPC (Code de procédure civile du 19 décembre 2008, RS 272 ; cf. Jeandin, CPC commenté, nn. 14-15 ad art. 319 CPC). Il n’y a ainsi pas de motif de traiter une telle décision – qu’elle admette ou rejette le moyen de preuve complémentaire requis – de manière différente des autres décisions en matière de preuve, qui sont attaquables immédiatement seulement par un recours stricto sensu et pour autant qu’elles puissent causer un préjudice difficilement réparable, ce qui n’est en principe pas le cas du refus d’ordonner une deuxième expertise (CREC 12 août 2015 ; CREC 28 mars 2014/116 ; CREC 14 février 2013/55 ; CREC 3 septembre 2013/274 ; cf. TF 4P.335/2006 du 27 février 2007 c. 1.2.4 ; sur le tout : CREC 18 février 2014/67 c. 5b). Selon la jurisprudence de la Chambre de céans, la notion de préjudice difficilement réparable est plus large que celle de dommage irréparable de l'art. 93 al. 1 let. a LTF (Loi du 17 juin 2005 sur le Tribunal fédéral; RS 173.110), puisqu'elle devrait viser également les désavantages de fait (JT 2011 III 86 c. 3 et réf. ;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(CREC 27 novembre 2014/418 ; CREC 22 mars 2012/117 ; Jeandin, op. cit., n. 22 ad art. 319 CPC et références). En outre, un préjudice irréparable de nature juridique ne doit pas pouvoir être ultérieurement réparé ou entièrement réparé par une décision finale favorable au recourant (ATF 134 III 188 c. 2.1 et c. 2.2). A cet égard, la recourante fait uniquement valoir que le refus de nommer un deuxième expert aurait pour effet que la cause serait jugée sur la base d’une expertise lacunaire et non technique. Dès lors que la recourante conserve la possibilité de contester la valeur probante de l’expertise dans le cadre de la procédure au fond, l’éventuel préjudice momentané peut être réparé par une décision finale susceptible de lui être favorable. Partant, la condition de préjudice difficilement réparable n’est, en l’espèce, pas réalisée, de sorte que cette conclusion du recours est irrecevable.</w:t>
      </w:r>
    </w:p>
    <w:p>
      <w:r>
        <w:rPr>
          <w:b/>
        </w:rPr>
        <w:t>E. 1.2</w:t>
      </w:r>
    </w:p>
    <w:p>
      <w:r>
        <w:t>Aux termes de l’art. 183 al. 2 CPC, les motifs de récusation des magistrats et fonctionnaires judiciaires sont applicables aux experts. Ainsi, l’expert est réputé présenter les mêmes garanties d’impartialité et d’indépendance qu’un magistrat ou un fonctionnaire judiciaire. L'art. 50 al. 2 CPC prévoit que la décision sur récusation peut faire l'objet d'un recours au sens des art. 319 ss CPC. La procédure de récusation, devant conclure rapidement à une solution sur la base de la vraisemblance, suit les règles de la procédure sommaire (art. 248 ss CPC; Tappy, Code de procédure civile commenté, Bâle 2011, nn. 21 et 32 ad art. 50 CPC). Ainsi, le délai pour recourir est de dix jours à compter du lendemain de la notification de la décision (art. 142 al. 1 et 321 al. 2 CPC). En l'espèce, le recours a été déposé en temps utile par une partie qui a qualité pour recourir, de sorte qu'il est recevable en tant qu'il est dirigé contre le rejet de la demande de récusation.</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La recourante soutient que l’expert serait prévenu et partial à son égard parce que, dans son rapport, il aurait tenu pour vraies des déclarations, ni étayées, ni prouvées, de l’ami de l’intimée et qu’il aurait, en définitive, fondé son rapport uniquement sur les déclarations d’une partie ou de l’un de ses proches.</w:t>
      </w:r>
    </w:p>
    <w:p>
      <w:r>
        <w:rPr>
          <w:b/>
        </w:rPr>
        <w:t>E. 3.2</w:t>
      </w:r>
    </w:p>
    <w:p>
      <w:r>
        <w:t>La récusation d'un expert judiciaire – qui ne fait pas partie du tribunal – s'examine au regard de l'art. 20 al. 1 Cst. garantissant l'équité du procès (ATF 125 II 541 c. 4a) et assurant au justiciable une protection équivalente à celle de l'art. 30 al. 1 Cst. s'agissant des exigences d'impartialité et d'indépendance requises (TF 5A_435/2010 du 28 juillet 2010 c. 3.2; ATF 127 I 196 c. 2b). Selon la jurisprudence relative aux art. 29 al. 1 et 30 al. 1 Cst., les parties à une procédure ont le droit d'exiger la récusation d'un expert dont la situation ou le comportement sont de nature à faire naître un doute sur son impartialité (TF 8C_1058/2010 du 1 er juin 2011 c. 4.2).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134 I 20 c. 4.2). Seules des circonstances constatées objectivement doivent être prises en considération; les impressions individuelles d'une des parties au procès ne sont pas décisives (ATF 134 I 20 c. 4.2; ATF 131 I 24 c. 1.1; ATF 127 I 196 c. 2b; ATF 126 I 68 c. 3a; 124 I 121 c. 3a, JT 1999 I 159). Il n'appartient pas au juge de la récusation d'examiner la conduite du procès à la façon d'un organe de surveillance (TF 4A_323/2010 du 3 août 2010 c. 2.2).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5A_11/2014 du 3 juillet 2014 c. 3.1; TF 5A_722/2012 du 17 décembre 2012 c. 3.2; ATF 125 I 119 c. 3e). En matière civile, les magistrats et fonctionnaires judiciaires doivent se récuser lorsqu’ils pourraient être prévenus, notamment en raison d’un rapport d’amitié ou d’inimitié avec une partie ou son représentant (art. 47 al. 1 let. f CPC). La partie qui entend obtenir la récusation d’un magistrat ou d’un fonctionnaire judiciaire doit la demander au tribunal aussitôt qu’elle a eu connaissance du motif de récusation et doit rendre vraisemblables les faits qui motivent sa demande (art. 49 al. 1 CPC). La récusation d’un juge ou d’un tribunal ne doit pas être autorisée à la légère, mais uniquement pour des motifs sérieux, la récusation devant demeurer l’exception (TF 1B_337/2010 du 17 novembre 2010 c. 2.2).</w:t>
      </w:r>
    </w:p>
    <w:p>
      <w:r>
        <w:rPr>
          <w:b/>
        </w:rPr>
        <w:t>E. 3.3</w:t>
      </w:r>
    </w:p>
    <w:p>
      <w:r>
        <w:t>En l’espèce, on comprend de l’argumentation de la recourante qu’elle prétend avoir été « discriminée » par rapport à sa partie adverse, dans le cadre de la procédure d’expertise hors procès, car l’expert aurait accordé, sans motifs, un poids décisif aux déclarations de l’ami de l’intimée. Le rapport d’expertise du 6 novembre 2014 comporte 13 pages, 12 écrits annexés et des photos. Il indique les investigations et démarches de l’expert, qui comprennent la visite des lieux, l’établissement d’un constat et la prise de photos, les auditions distinctes et partiellement séparées des parties, la production de documents et l’analyse des données ainsi récoltées. L’expert a présenté cette manière de procéder aux parties qui ne l’ont pas contestée. Une double chronologie des événements a été établie en fonction des déclarations (ch. 4.1.3 et 5.1.3), d’une part, de la propriétaire de l’ouvrage, respectivement de son ami également locataire, [...], et, d’autre part, de l’entreprise intimée. En page 9 de son rapport, sous la rubrique « Considérations complémentaires de l’expert », celui-ci a déduit du risque, auquel [...] s’était exposé en soulevant le couvercle de l’appareil Chlorozone, que celui-ci n’avait ni perçu ce risque, ni qu’il en avait été averti. Cet avis de l’expert est corroboré par l’examen de la documentation transmise par l’entreprise qui ne fait pas ressortir de consigne de sécurité spécifique quant à la manipulation de ce couvercle, la nécessité de remplacer cet appareil ou la mention d’un danger potentiel. Le recourante se borne à formuler des observations générales sur sa propre perception de l’expertise, sans toutefois rapporter aucun fait ou événement précis permettant d’asseoir ses griefs. Elle ne démontre aucune erreur particulièrement lourde ou répétée susceptible d’être considérée comme une violation grave des devoirs de l’expert, ni n’apporte d’élément objectif, concret et sérieux susceptible de démontrer une quelconque prévention dans l’attitude de l’expert.</w:t>
      </w:r>
    </w:p>
    <w:p>
      <w:r>
        <w:rPr>
          <w:b/>
        </w:rPr>
        <w:t>E. 4</w:t>
      </w:r>
    </w:p>
    <w:p>
      <w:r>
        <w:t>Au vu de ce qui précède, le recours est manifestement infondé et la décision attaquée doit être confirmée selon le mode procédural de l’art. 321 al. 1 CPC.</w:t>
      </w:r>
    </w:p>
    <w:p>
      <w:r>
        <w:rPr>
          <w:b/>
        </w:rPr>
        <w:t>E. 5</w:t>
      </w:r>
    </w:p>
    <w:p>
      <w:r>
        <w:t>Les frais judiciaires de deuxième instance, arrêtés à 525 fr., sont mis à la charge de la recourante qui succombe (art. 106 al. 1 CPC ; art. 69 al. 1 TFJC [tarif des frais judiciaires civils du 28 septembre 2010, RSV 270.11.5]). Il n’y a pas lieu d’allouer de dépens, l’intimée n’ayant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525 fr. (cinq cent vingt-cinq francs), sont mis à la charge de la recourante X.________ SA. IV. L’arrêt motivé est exécutoire. Le président :               La greffière : Du 27 août 2015 Le dispositif de l'arrêt qui précède est communiqué par écrit aux intéressés. La greffière : Du L'arrêt qui précède, dont la rédaction a été approuvée à huis clos, est notifié en expédition complète, par l'envoi de photocopies, à : ‑ Me Filippo Ryter, av. (pour la recourante X.________ SA), ‑ Me Paul-Arthur Treyvaud, av. (pour l’intimée P.________). La Chambre des recours civile considère que la valeur litigieuse est de 22’500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