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886 vom 29. September 2015</w:t>
      </w:r>
    </w:p>
    <w:p>
      <w:r>
        <w:t>VD Tribunal cantonal, 2015-09-29, FR</w:t>
      </w:r>
    </w:p>
    <w:p>
      <w:r>
        <w:rPr>
          <w:b/>
        </w:rPr>
        <w:t xml:space="preserve">Quelle: </w:t>
      </w:r>
      <w:r>
        <w:t>https://mcp.opencaselaw.ch/entscheid/vd_findinfo_HC___2015___886</w:t>
      </w:r>
    </w:p>
    <w:p>
      <w:r>
        <w:t>FR: VD_FINDINFO HC / 2015 / 886 du 29 septembre 2015</w:t>
      </w:r>
    </w:p>
    <w:p>
      <w:r>
        <w:t>IT: VD_FINDINFO HC / 2015 / 886 del 29 settembre 2015</w:t>
      </w:r>
    </w:p>
    <w:p>
      <w:pPr>
        <w:pStyle w:val="Heading2"/>
      </w:pPr>
      <w:r>
        <w:t>Regeste</w:t>
      </w:r>
    </w:p>
    <w:p>
      <w:r>
        <w:t>PROROGATION DE FOR, ACCEPTATION TACITE DE COMPÉTENCE, AUTORITÉ DE CONCILIATION | 17 CPC (CH), 18 CPC (CH), 59 al. 2 let. b CPC (CH)</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est introduit auprès de l’instance de recours dans les 30 jours à compter de la notification de la décision motivée (art. 321 al. 1 CPC). En l’espèce, formé en temps utile par une partie qui a un intérêt digne de protection (art. 59 al. 2 let. a CPC) et portant sur des conclusions qui sont inférieures à 10'000 fr., le présent recours est recevable à cet égard.</w:t>
      </w:r>
    </w:p>
    <w:p>
      <w:r>
        <w:rPr>
          <w:b/>
        </w:rPr>
        <w:t>E. 2</w:t>
      </w:r>
    </w:p>
    <w:p>
      <w:r>
        <w:t>Le recours doit être motivé. Cela signifie que le recourant a le fardeau d'expliquer les motifs pour lesquels la décision attaquée doit être annulée et modifiée, par référence à l'un et/ou l'autre des motifs prévus à l'art. 320 CPC. La maxime inquisitoire et la maxime d'office ne dispensent pas le recourant de motiver correctement. Il est douteux à cet égard qu'un simple renvoi aux écritures et pièces de première instance soit conforme à l'exigence de motivation de l'art. 321 al. 1 CPC. L'instance de recours doit pouvoir comprendre ce qui est reproché au premier juge sans avoir à rechercher des griefs par elle-même, ce qui exige une certaine précision quant à l'énoncé et à la discussion des griefs (CREC  23 août 2011/143; CREC 11 mai 2012/173). A cet égard, les exigences de motivation applicables à l'appel doivent à tout le moins être remplies pour le recours, la question de savoir si l'on doit être plus exigeant pouvant être laissée ouverte (TF 5A_247/2013 du 15 octobre 2013 c. 3.1, RSPC 2014 p. 154). En l’espèce, il y a lieu de relever la recevabilité douteuse du recours sous l’angle de sa motivation. En effet, la recourante se contente de répéter dans son recours les arguments présentés en première instance, plus précisément ceux qu’elle a développés dans son écriture du 10 février 2015, sans mentionner une seule fois la décision attaquée ni expliciter clairement ce qu’elle reproche au premier juge, à savoir quels sont ses griefs. Quoi qu’il en soit, cette question peut être laissée ouverte, le recours devant de toute manière être rejeté, pour les motifs qui suivent.</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w:t>
      </w:r>
    </w:p>
    <w:p>
      <w:r>
        <w:rPr>
          <w:b/>
        </w:rPr>
        <w:t>E. 4</w:t>
      </w:r>
    </w:p>
    <w:p>
      <w:r>
        <w:t>a) Il découle de l’argumentaire de la recourante qu’elle reproche à la première juge de s’être déclarée incompétente ratione loci. La recourante est d’avis que, d’une part, la clause d’élection de for ne liait pas valablement les parties et, d’autre part, que la participation de l’intimée à la procédure de conciliation devant la Justice de paix du district de Lavaux-Oron emportait acceptation tacite de for par cette dernière. b) Sauf disposition contraire de la loi, les parties peuvent convenir d’un for pour le règlement d’un différend présent ou à venir résultant d’un rapport de droit déterminé. Sauf disposition conventionnelle contraire, l’action ne peut être intentée que devant le for élu (art. 17 al. 1 CPC). La convention doit être passée en la forme écrite ou par tout autre moyen permettant d’en établir la preuve par texte (art. 17 al. 2 CPC). La clause d’élection de for ne nécessite pas de signature (Haldy, CPC commenté, 2010, n. 14 ad art. 17 CPC). La validité d'une renonciation au for du domicile du défendeur suppose que le cocontractant du renonçant puisse admettre de bonne foi que celui-ci, en acceptant le contrat, a aussi accepté la clause de prorogation de for. Lorsque la clause est claire et univoque, sa prise de conscience par une personne moyennement versée en affaires suffit (TF 4A_247/2013 du 14 octobre 2012 c. 2.1.2 ad art. 9 aLFors, RSPC 2014 p. 101, note Bohnet; TF 4A_4/2015 du 4 mars 2015 c. 2, RSPC 2015 p. 203). La validité de la clause de prorogation de for nécessite que les parties aient déterminé de manière suffisamment claire quel tribunal elles déclarent compétent, afin que le tribunal désigné puisse constater sa compétence sans aucun doute (TF 4A_4/2015 du 4 mars 2015 c. 2; ATF 132 III 268 c. 2.3.3). En l’espèce, la première juge a constaté que le contrat d’entreprise signé par les parties le 1 er et le 6 août 2013 contenait une clause d’élection de for à son chiffre 7. Elle a estimé que cette clause, passée en la forme écrite, était rédigée de façon claire, de sorte qu’elle engageait valablement les parties. Le raisonnement de la première juge peut être confirmé. Le chiffre 7 du contrat d’entreprise mentionne que « pour tout litige résultant du présent contrat, le for juridique est à Lausanne ». Cette formulation est univoque et ne laisse place à aucune interprétation. Le fait que l’intimée a apposé sa signature au bas de la page 2 alors que la recourante a seulement signé en bas des conditions générales en page 6 n’y change par ailleurs rien, la première juge ayant à juste titre relevé qu’il n’est pas incongru qu’une partie ne signe pas l’exemplaire du contrat qu’elle conserve au terme des négociations et qu’il est d’ailleurs contradictoire que la recourante fasse d’une part valoir une prétention fondée sur la page 2 du contrat mais ne s’estime d’autre part pas liée par une clause d’élection de for figurant sur la même page. Il faut donc considérer qu’en signant le contrat d’entreprise le 1 er et le 6 août 2013, les parties ont, de bonne foi, renoncé au for habituel du siège de l’intimée à Pully et élu un for à Lausanne, siège de la recourante. c) Le tribunal n’entre en matière que sur les demandes qui satisfont aux conditions de recevabilité de l’action (art. 59 al. 1 CPC). Parmi ces conditions figure notamment la compétence à raison du lieu du tribunal (art. 59 al. 2 let. b CPC). Sauf disposition contraire de la loi, le tribunal saisi est compétent lorsque le défendeur procède au fond sans faire de réserve sur la compétence (art. 18 CPC). La participation à la procédure de conciliation n’emporte toutefois pas acceptation de for (Haldy, CPC commenté, 2010, n. 3 ad art. 18 CPC). En effet, l’autorité de conciliation n’est pas un tribunal et, à moins que son incompétence soit manifeste, il ne lui appartient pas de se prononcer sur la recevabilité d’une demande, cet examen incombant au tribunal saisi au fond conformément à l’art. 59 al. 1 CPC (CREC 18 juin 2013/212). La conciliation vise essentiellement à trouver un accord entre les parties et cet objectif serait vidé de son sens si le fait d’y participer emportait déjà acceptation de for pour la procédure au fond (Infanger, Basler Kommentar ZPO, 2 e éd., 2013, n. 7 ad art. 18 CPC). Un défendeur qui participe à la conciliation ne saurait donc être réputé avoir procédé « au fond », la procédure au fond  n’intervenant qu’au moment où une demande est déposée auprès du tribunal suite à la délivrance par l’autorité de conciliation d’une autorisation de procéder. Le Tribunal fédéral a ainsi jugé qu’une partie qui soulève l’exception d’incompétence dans la procédure au fond, sans l’avoir préalablement fait en conciliation, ne commet pas d’abus de droit (ATF 139 III 273 c. 2.3). En l’espèce, la première juge, s’appuyant sur la doctrine précitée, a considéré qu’il n’y avait pas eu acceptation de for par l’intimée du simple fait de sa participation à la procédure de conciliation. Conformément à l’art. 59 CPC, elle a examiné la recevabilité de la demande et constaté qu’au vu de l’élection de for figurant au contrat d’entreprise, elle n’était pas compétente ratione loci . Ce raisonnement ne prête pas le flanc à la critique. En particulier, il ne peut pas être reproché à l’intimée d’avoir participé à la procédure de conciliation et de n’avoir soulevé l’exception d’incompétence ratione loci qu’au stade de la procédure au fond puisque, précisément, l’acceptation tacite ne peut pas intervenir devant l’autorité de conciliation, mais uniquement durant la procédure au fond, raison pour laquelle c’était à ce moment-là qu’une éventuelle exception d’incompétence devait être soulevée par l’intimée, ce que cette dernière a d’ailleurs fait. Quoi qu’en dise la recourante, le fait que l’intimée ait pris des conclusions reconventionnelles au stade de la conciliation n’y change rien, puisqu’à ce moment-là les parties n’avaient pas encore procédé au fond et n’avaient donc pas la possibilité d’accepter tacitement le for de par leur simple participation. Il s’ensuit que c’est à juste titre que la première juge a admis l’exception d’incompétence ratione loci soulevée par l’intimée et n’est pas entrée en matière sur la demande.</w:t>
      </w:r>
    </w:p>
    <w:p>
      <w:r>
        <w:rPr>
          <w:b/>
        </w:rPr>
        <w:t>E. 5</w:t>
      </w:r>
    </w:p>
    <w:p>
      <w:r>
        <w:t>Il découle des considérants qui précèdent qu’aucune violation du droit ne peut être reprochée à la première juge et que le grief implicite de la recourante s’avère mal fondé. Le recours, manifestement infondé, doit être rejeté selon le mode procédural de l’art. 322 al. 1 CPC. Les frais judiciaires de deuxième instance, arrêtés à 400 fr. (art. 69 al. 1 et 70 al. 1 TFJC [tarif des frais judiciaires civils du 28 septembre 2010 ; RSV 270.11.5]), sont mis à la charge de la recourante qui succombe (art. 106 al. 1 CPC). Il n’y a pas lieu d’allouer des dépens à l’intimée, dès lors qu’elle n’a pas été invitée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R.________. IV. L’arrêt motivé est exécutoire. Le président :               Le greffier : Du 29 septembre 2015 Le dispositif de l'arrêt qui précède est communiqué par écrit aux intéressés. Le greffier : Du L'arrêt qui précède, dont la rédaction a été approuvée à huis clos, est notifié en expédition complète, par l'envoi de photocopies, à : ‑ Geneviève Gehrig, aab, (pour R.________), ‑ Julien Greub, aab (pour I.________).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