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885 vom 6. August 2015</w:t>
      </w:r>
    </w:p>
    <w:p>
      <w:r>
        <w:t>VD Tribunal cantonal, 2015-08-06, FR</w:t>
      </w:r>
    </w:p>
    <w:p>
      <w:r>
        <w:rPr>
          <w:b/>
        </w:rPr>
        <w:t xml:space="preserve">Quelle: </w:t>
      </w:r>
      <w:r>
        <w:t>https://mcp.opencaselaw.ch/entscheid/vd_findinfo_HC___2015___885</w:t>
      </w:r>
    </w:p>
    <w:p>
      <w:r>
        <w:t>FR: VD_FINDINFO HC / 2015 / 885 du 6 août 2015</w:t>
      </w:r>
    </w:p>
    <w:p>
      <w:r>
        <w:t>IT: VD_FINDINFO HC / 2015 / 885 del 6 agosto 2015</w:t>
      </w:r>
    </w:p>
    <w:p>
      <w:pPr>
        <w:pStyle w:val="Heading2"/>
      </w:pPr>
      <w:r>
        <w:t>Regeste</w:t>
      </w:r>
    </w:p>
    <w:p>
      <w:r>
        <w:t>DIVORCE, DIVORCE SUR DEMANDE UNILATÉRALE, OBLIGATION D'ENTRETIEN, PERSONNE DIVORCÉE, REVENU HYPOTHÉTIQUE, MARIAGE AYANT UN IMPACT DÉCISIF SUR LA VIE | 125 al. 1 CC, 125 al. 2 CC, 125 CC</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 citées).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b) En l'espèce, formé en temps utile par une partie qui y a intérêt (art. 59 al. 2 let. a CPC) et portant sur des conclusions patrimoniales qui, capitalisées,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 2a).</w:t>
      </w:r>
    </w:p>
    <w:p>
      <w:r>
        <w:rPr>
          <w:b/>
        </w:rPr>
        <w:t>E. 3</w:t>
      </w:r>
    </w:p>
    <w:p>
      <w:r>
        <w:t>a) L'appelante se plaint en premier lieu d'une constatation inexacte des faits en ce sens que les premiers juges auraient retenu de manière erronée qu'elle serait capable de travailler à 70 %. Elle soutient en effet qu'elle ne serait capable de travailler qu'à 30% et que les premiers juges auraient mal interprété le certificat établi par le Dr V.________ le 21 juin 2014, tout en admettant que cette pièce n'est pas très claire. Elle en veut pour preuve le certificat médical du Dr V.________ nouvellement produit daté du 27 avril 2015, qui indique que sa capacité de travail "se situe autour de 30 à 40% au plus". L'intimé estime quant à lui que les termes du certificat médical du Dr V.________ du 21 juin 2014 sont clairs, la capacité de travail résiduelle de l'appelante étant de 70%. Il rappelle en outre que l'appelante n'a à aucun moment soutenu qu'elle présentait une incapacité de travail à hauteur de 70%. Il souligne enfin que la pièce nouvelle produite par l'appelante aurait pu être produite devant l'autorité de première instance dans la mesure où cette incapacité de travail n'est pas survenue après le 8 avril 2015 et n'a pas été découverte après cette date.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 citées).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 2.3.3, RSPC 2015 p. 246). Ne fait pas preuve de la diligence requise la partie qui renonce à produire un document devant le premier juge au motif qu'il estimait le fait suffisamment prouvé par l'audition des témoins (TF 4A_334/2012 du 16 octobre 2012 c. 3.1, SJ 2013 I 311). De même, le fait que les expectatives sur le résultat probatoire n'aient pas été conformes à ce qu'attendait l'appelant ne justifie pas que celui-ci n'entreprenne d'autres recherches de documents qu'après le jugement. Les faux novas ainsi produits en appel sont irrecevables (TF 5A_209/2014 du 2 septembre 2014 c. 3.2.1). Ne fait pas preuve de la diligence requise la partie qui aurait pu produire un certificat médical à l'appui de sa thèse déjà à l'audience de première instance, soit quelques semaines avant l'appel (TF 5A_569/2013 du 24 mars 2014 c. 2.3, RSPC 2014 p. 348). c) En l’espèce, la seule question encore litigieuse concerne la quotité de la contribution d'entretien en faveur de l'épouse, question soumise à la maxime des débats (art. 277 al. 1 CPC), de sorte qu'il convient d'être strict s'agissant de la production de novas. La pièce produite par l'appelante n'est toutefois pas à proprement parler un nouveau moyen de preuve mais un moyen de preuve précisant, respectivement complétant, un moyen de preuve régulièrement offert et administré en première instance. Il s'avère néanmoins qu'une interprétation littérale du premier document est possible et conduit à la même compréhension que celle qu'en ont eue les premiers juges, à savoir que la capacité de travail de l'appelante était réduite de 30% et qu'elle s'élevait donc à 70%. Par conséquent, on ne peut faire grief aux premiers juges d'avoir retenu ce qui précède, sur la base d'une attestation suffisamment claire. L'appelante n'a en effet pas fait preuve de la diligence requise en produisant devant les premiers juges un document arrêtant à 70% sa capacité de gain, qu'elle prétend être réduite à 30%, et en ne prenant pas la précaution de s'assurer que son médecin traitant avait correctement retranscrit son appréciation médicale. Partant, le certificat médical produit par l'appelante devant la Cour de céans doit être déclaré irrecevable et le grief de constatation manifestement inexacte des faits rejeté. Au demeurant, même à supposer cette pièce recevable, cela n'aurait pas d'incidence sur le sort de l'appel (cf. c. 4 cb) infra ).</w:t>
      </w:r>
    </w:p>
    <w:p>
      <w:r>
        <w:rPr>
          <w:b/>
        </w:rPr>
        <w:t>E. 4</w:t>
      </w:r>
    </w:p>
    <w:p>
      <w:r>
        <w:t>juillet 2012 c. 3.1.1; ATF 137 III 102 c. 4.1.1 ; ATF 132 III 598 c. 9.1 et les arrêts cités).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des époux (ATF 132 III 598 c.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 4.1; TF 5A_214/2009 du 27 juillet 2009 c. 3.2, in FamPra.ch 2009 p. 1051; TF 5A_95/2012 du 28 mars 2012 c. 3, in FamPra.ch 2012 p. 761).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134 III 145 c.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 3.2.3.1 et les réf. citées). bb) En l'espèce, le mariage des parties a duré plus de vingt ans et deux enfants, actuellement âgés de 22 et 17 ans, en sont issus. Il y a donc lieu de présumer, conformément à la jurisprudence susmentionnée, que le mariage a exercé une influence concrète sur la situation financière de l'appelante. En effet, si l'on peut admettre que celle-ci n'a pas été complètement inactive professionnellement durant la vie commune et qu'elle est parvenue à se réinsérer dans le monde du travail en qualité d'auxiliaire éducatrice et remplaçante dans le domaine de la petite enfance, on ne peut que constater que les divers emplois qu'elle a exercés n'ont en tous les cas jamais été de longue durée ni d'un taux d'activité conséquent, de sorte que l'intéressée n'est manifestement jamais parvenue à consolider et pérenniser dans une large mesure sa source de revenus. Cela étant, sur le principe, il est manifeste que l'appelante peut prétendre à une contribution d'entretien de la part de son époux. Celui-ci n'a d'ailleurs pas contesté le principe de cette assistance financière puisqu'il a conclu, au stade de la première instance, à l'octroi en faveur de son épouse d'une contribution d'entretien de 1'000 fr. jusqu'à ce qu'il atteigne l'âge de la retraite. c) ca) Lorsqu'il s'agit de fixer la contribution à l'entretien d'un conjoint dont la situation financière a été concrètement et durablement influencée par le mariage, l'art. 125 CC prescrit de procéder en trois étapes (ATF 137 III 102; ATF 134 III 145 c. 4; cf. également ATF 134 I 577 c.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TF 5A_2/2008 du 19 juin 2008, publié in FamPra.ch 2008, p. 941; ATF 137 III 102 c. 4.2.1.1). Quand il n'est pas possible, en raison de l'augmentation des frais qu'entraîne l'existence de deux ménages séparés, de conserver le niveau de vie antérieur, le créancier de l'entretien peut prétendre au même train de vie que le débiteur de l'entretien (ATF 129 III 7 c. 3.1.1; ATF 137 III 102; ATF 132 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 6.2; ATF 137 III 59 c. 4.2;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 Bâle, Genève 2008, pp. 145-172). Quant à la deuxième étape, elle consiste à examiner dans quelle mesure chacun des époux peut financer lui-même l'entretien arrêté à l'étape précédente du raisonnement (ATF 134 I 145 c. 4; ATF 134 III 577 c. 3). Un conjoint – y compris le créancier de l'entretien (ATF 127 III 136 c. 2c) – peut se voir imputer un revenu hypothétique (ATF 128 III 4 c. 4a), pour autant qu'il puisse gagner plus que son revenu effectif en faisant preuve de bonne volonté et en accomplissant l'effort que l'on peut raisonnablement exiger de lui. L'obtention d'un tel revenu doit donc être effectivement possible (ATF 128 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de réaliser est une question de fait (ATF 128 II 4 c. 4c/bb). Dans les cas où le juge exige d'un époux qu'il reprenne ou augmente son activité lucrative et où l'on exige de lui une modification de son mode de vie (TF 5A_692/2012 du 21 janvier 2013 c. 4.3, in FamPra.ch 2013 p. 486), on lui accorde un certain délai pour s'organiser à ces fins (ATF 129 III 417 c. 2.2; ATF 114 II 13 c.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 stricte (ATF 115 II 6 c. 5a; TF 5A_76/2009 du 4 mai 2009 c. 6.2.3; TF 5C.320/2006 du 1 er février 2006 c. 5.6.2.2). La présomption peut être renversée, en fonction d'autres éléments qui plaideraient en faveur de la prise ou de l'augmentation d'une activité lucrative (TF 5A_6/2009 du 30 avril 2009 c. 2.2; TF 5A_76/2009 du 4 mai 2009 c. 6.2.5; TF 5A_210/2008 du 14 novembre 2008 c. 4.4 et 3.4, non publié in ATF 135 III 158). La limite d'âge tend à être augmentée à cinquante ans.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 4.2.3 et la réf. citée; sur le tout : TF 5A_777/2014 du 4 mars 2015 c. 5.1.3). A ce stade, les critères de l'art. 129 al. 1 CC doivent être pris en considération, par analogie (ATF 137 III 102 c. 4.2.3; ATF 134 I 145 c.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 4 ; TF 5A_827/2010 du 13 octobre 2011 c. 4.1). cb) En l'espèce, l'appelante était âgée de 52 ans au moment de la séparation. A l'heure actuelle, elle a 56 ans et n'est au bénéfice d'aucune véritable formation professionnelle. Durant la vie commune, qui a duré plus de 20 ans, elle n'a pratiquement pas exercé d'activité lucrative et s'est essentiellement consacrée à l'éducation des deux enfants du couple. Après avoir fréquenté l'Ecole de français moderne au sein de la faculté des lettres de l'Université de Lausanne, elle a travaillé environ une année entre 1989 et 1990 en qualité d'assistante d'internat au lycée [...], puis environ un an et demi entre 1991 et 1993 en qualité d'"employée sur ordinateur" à raison de 20 heures par semaine, soit un mi-temps, dans une boutique à Lausanne, ce second emploi lui ayant procuré un revenu mensuel brut de 1'850 francs. En décembre 2008, soit 15 ans après l'arrêt de son activité professionnelle précédente, elle a repris un emploi à temps très partiel en qualité d'"auxiliaire éducatrice et remplaçante" auprès de l'association " [...]", à Pully, pour un revenu mensuel net moyen de 470 fr. calculé sur la base des fiches de salaire produites pour les années 2009 à 2014 (soit 246 fr. par mois en moyenne en 2009, 295 fr. en 2010, 318 fr. en 2011, 741 fr. en 2012, 795 fr. en 2013 et 432 fr. en 2014). Le Dr V.________, psychiatre à Lausanne qui suit l'appelante depuis 2004, a en outre attesté que celle-ci présente des troubles fonctionnels conséquents à des troubles mentaux qui grèvent sa capacité de travail. Les premiers juges, après avoir arrêté, de manière adéquate et d'ailleurs non contestée, la quotité de l'entretien convenable de l'appelante à 3'400 fr., ont considéré, principalement sur la base de leur interprétation du certificat médical du 21 juin 2014 établi par le Dr V.________, que l'intéressée était néanmoins en mesure de travailler désormais à 70% et de réaliser un revenu mensuel net de l'ordre de 3'000 fr. après une période de six mois suivant le jugement de divorce. Même si les taux d'incapacité de gain, respectivement de capacité de travail indiqués dans le certificat médical litigieux sont controversés et que l'appelante ne paraît pas avoir déployé beaucoup d'efforts pour se réinsérer dans le monde du travail, comme en atteste l'unique offre d'emploi qu'elle a produite à cet égard, il n'en demeure pas moins que l'appréciation des premiers juges ne peut pas être suivie. En effet, compte tenu des principes posés en la matière par le Tribunal fédéral et rappelés ci-dessus, on ne peut pas raisonnablement exiger de l'appelante, au vu de son âge, de son état de santé psychique, du contexte particulier et pour le moins précaire de son emploi dans le domaine de la petite enfance, qui génère de surcroît notoirement plus de fatigue chez les personnes d'un certain âge, qu'elle augmente son taux d'activité à 70% et réalise à ce titre un revenu mensuel net de l'ordre de 3'000 francs. Tout au plus peut-on admettre que l'intéressée serait en mesure de tripler sa durée actuelle de travail hebdomadaire de 3 heures, qui correspond à un taux d'activité inférieur à 10%, en offrant le cas échéant ses services à d'autres structures d'accueil. Au vu du salaire réalisé par l'appelante à ce jour, c'est un gain potentiel de l'ordre de 1'500 fr. nets par mois qui sera retenu et que l'appelante se verra imputer à titre de revenu hypothétique. Compte tenu des circonstances, i l convient en outre de laisser à l'appelante un délai d'adaptation plus long que celui retenu par les premiers juges, qui estimaient que six mois suffiraient pour qu'elle augmente son activité professionnelle. Par conséquent, l'appelante percevra une contribution d'entretien de 3'400 fr. par mois pendant un délai d'une année après jugement définitif et exécutoire, ce qui lui laissera le temps d'adapter sa situation professionnelle. Depuis lors et conformément au revenu hypothétique retenu ci-dessus, la contribution d'entretien en faveur de l'appelante sera réduite à 2'370 fr. en chiffres ronds (3'873.90 – 1'500). Cette pension sera due jusqu'à la retraite de l'intimé et non jusqu'à la retraite de l'appelante. En effet, l’époux a droit au maintien de son niveau de vie durant le mariage aussi longtemps que les capacités économiques du débirentier permettent de couvrir les besoins du conjoint. En principe, ces capacités diminuent à l’âge de la retraite du débirentier, de telle sorte que, dans la pratique, l’obligation d’entretien dure jusqu’à l’âge de la retraite du débirentier (TF 5A_894/2011 du 14 mai 2012 c. 6.5.2 et les réf. citées). Au surplus, les contributions d'entretien fixées n'entament manifestement pas le minimum vital de l'intimé.</w:t>
      </w:r>
    </w:p>
    <w:p>
      <w:r>
        <w:rPr>
          <w:b/>
        </w:rPr>
        <w:t>E. 5</w:t>
      </w:r>
    </w:p>
    <w:p>
      <w:r>
        <w:t>a) En définitive, l'appel doit être partiellement admis et le jugement entrepris réformé en ce sens que A.I.________ contribuera à l'entretien de M.________ par le régulier versement d’une pension, payable d’avance le premier de chaque mois en mains de la bénéficiaire, d’un montant de 3'400 fr. dès jugement définitif et exécutoire et pendant une durée d’une année, puis de 2'370 fr. dès lors et jusqu’à ce que A.I.________ ait atteint l’âge de l’AVS. S'agissant de la répartition des frais et dépens de première instance, il faut rappeler que la majorité des effets du divorce ont été réglés par convention. En ce qui concerne la principale question litigieuse, savoir la quotité de la contribution d'entretien en faveur de l'épouse, l'appelante avait initialement conclu à l'octroi en sa faveur d'une somme mensuelle de 4'000 fr. jusqu'à sa propre retraite, alors que l'intimé avait quant à lui proposé de verser une pension de 1'000 fr. en faveur de son épouse jusqu'à ce qu'il atteigne l'âge de l'AVS. Au vu de l'issue de l'appel, il n'y a pas lieu de s'éloigner de la répartition décidée par les premiers juges, qui ont mis les frais judiciaires par moitié à la charge de chacune des parties et compensé les dépens. b) L'appelante n'obtient que partiellement gain de cause sur ses conclusions d'appel. Ainsi, vu l’issue du litige, les frais judiciaires de deuxième instance, arrêtés à 1'800 fr. (art. 63 al. 3 TFJC [tarif des frais judiciaires civils du 28 septembre 2010, RSV 270.11.5]), doivent être mis pour moitié à la charge de chaque partie (art. 106 al. 2 CPC). L’intimé versera à l’appelante la somme de 900 fr. à titre de restitution partielle de l’avance de frais fournie par cette dernière (art. 111 al. 2 CPC). c) Vu le sort de l’appel,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