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882 vom 11. August 2015</w:t>
      </w:r>
    </w:p>
    <w:p>
      <w:r>
        <w:t>VD Tribunal cantonal, 2015-08-11, FR</w:t>
      </w:r>
    </w:p>
    <w:p>
      <w:r>
        <w:rPr>
          <w:b/>
        </w:rPr>
        <w:t xml:space="preserve">Quelle: </w:t>
      </w:r>
      <w:r>
        <w:t>https://mcp.opencaselaw.ch/entscheid/vd_findinfo_HC___2015___882</w:t>
      </w:r>
    </w:p>
    <w:p>
      <w:r>
        <w:t>FR: VD_FINDINFO HC / 2015 / 882 du 11 août 2015</w:t>
      </w:r>
    </w:p>
    <w:p>
      <w:r>
        <w:t>IT: VD_FINDINFO HC / 2015 / 882 del 11 agosto 2015</w:t>
      </w:r>
    </w:p>
    <w:p>
      <w:pPr>
        <w:pStyle w:val="Heading2"/>
      </w:pPr>
      <w:r>
        <w:t>Regeste</w:t>
      </w:r>
    </w:p>
    <w:p>
      <w:r>
        <w:t>PARTAGE SUCCESSORAL, AVANCE{EN GÉNÉRAL}, INVENTAIRE, SUCCESSION | 602 al. 3 CC</w:t>
      </w:r>
    </w:p>
    <w:p>
      <w:pPr>
        <w:pStyle w:val="Heading2"/>
      </w:pPr>
      <w:r>
        <w:t>Erwägungen</w:t>
      </w:r>
    </w:p>
    <w:p>
      <w:r>
        <w:rPr>
          <w:b/>
        </w:rPr>
        <w:t>E. 1</w:t>
      </w:r>
    </w:p>
    <w:p>
      <w:r>
        <w:t>Aux termes de l’art. 602 al. 3 CC, à la demande de l’un des héritiers, l’autorité compétente peut désigner un représentant de la communauté héréditaire jusqu’au moment du partage. Cette disposition ne prévoyant pas la compétence du juge, la procédure de désignation d’un représentant de la communauté héréditaire n’est pas soumise au CPC (Code de procédure civile du 19 décembre 2008 ; RS 272), mais demeure régie par la procédure cantonale (CACI 24 novembre 2011/370 ; en général : JT 2011 III 48 c. 1a/bb ; ATF 139 III 225). L’art. 6 ch. 29 CDPJ (Code de droit privé judiciaire vaudois du 12 janvier 2010 ; RSV 211.01) attribue cette compétence au président du tribunal d’arrondissement. Cette désignation d’un représentant de la communauté héréditaire ressortit à la juridiction gracieuse (Schaufelberger/Lüscher, Basler Kommentar, n. 40 ad art. 602 CC ; dubitatif : Rouiller, Commentaire du droit des successions, n. 83 ad art. 602 CC). Les règles du CPC s’appliquent à titre de droit cantonal supplétif (CACI 24 novembre 2011/370). On en déduit l’application de la procédure sommaire (art. 248 let. e CPC), ce qui implique que la voie de droit ouverte est le recours de l’art. 109 al. 3 CDPJ, indépendamment de la valeur litigieuse (CREC 4 avril 2011/20 ; CREC 9 mai 2011/53). Les règles procédurales précitées sont applicables en l’espèce dans la mesure où la décision a pour objet l’étendue des pouvoirs du  représentant de la communauté héréditaire, dont la désignation a fait l’objet d’une précédente décision. Formé en temps utile par une partie qui y a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Aux termes de l’art. 326 al. 1 CPC, les conclusions, les allégations de faits et les preuves nouvelles sont irrecevables.</w:t>
      </w:r>
    </w:p>
    <w:p>
      <w:r>
        <w:rPr>
          <w:b/>
        </w:rPr>
        <w:t>E. 3</w:t>
      </w:r>
    </w:p>
    <w:p>
      <w:r>
        <w:t>La recourante paraît tenir pour acquis qu’elle disposerait d’un droit à bénéficier d’avances sur sa part successorale à la condition que les autres héritiers ne soient pas lésés. a) Selon la doctrine, l’exécuteur testamentaire (par analogie le représentant de la communauté héréditaire) peut faire aux héritiers des avances sur ce qui leur reviendra lors du partage, tout en veillant à respecter entre eux une égalité de traitement (Steinauer, Le droit des successions, Berne 2006 n° 1180a). Suivant ce principe, ces avances devraient être effectuées simultanément et proportionnellement à tous les héritiers. Elles peuvent s’opérer par prélèvement sur le capital à condition ne pas porter préjudice au futur partage. En cas de versement à certains et pas à tous les héritiers, les avances devraient intervenir sous forme de prêts portant intérêts (Martin Karrer, in Basler Kommentar, 3 ième ed., Bâle 2007 n° 46 ad art. 518 CC). b) On constate ainsi qu’il n’existe pas un droit aux avances, mais la faculté d’en demander et la possibilité pour chaque héritier de saisir l’autorité de surveillance pour se plaindre du comportement du représentant officiel et demander que des injonctions lui soient adressées (Nicolas Rouiller, Commentaire du droit des successions, Berne 2012 n° 105 ad art. 602 CC).</w:t>
      </w:r>
    </w:p>
    <w:p>
      <w:r>
        <w:rPr>
          <w:b/>
        </w:rPr>
        <w:t>E. 4</w:t>
      </w:r>
    </w:p>
    <w:p>
      <w:r>
        <w:t>La recourante se plaint d’une violation du pouvoir d’appréciation des faits et dénonce le caractère inopportun et arbitraire de la décision. Elle invoque aussi l’égalité de traitement par rapport à G.R.________ qui bénéficie d’avances à concurrence de 2'000 fr. par mois. Enfin, elle qualifie la décision d’inéquitable dans la mesure où elle mettrait en péril ses moyens d’existence. a) Dans le prononcé attaqué, le premier juge a présenté, sur la base des éléments du dossier, deux situations de la succession et des perspectives de partage, une première favorable aux héritiers et une seconde défavorable aux héritiers. Celles-ci sont les suivantes : Evaluation favorable - valeur vénale de l’immeuble de Nyon : 6'500'000 fr. - dettes de la recourante envers la succession : -              prêt pour le chalet de Gstaad               2'400'000 fr. -              divers prêts consentis par le de cujus              610'000 fr. -              avances perçues depuis le décès 1'259'215 fr.               48 -              loyer des immeubles de Nyon (10’000/mois) 670'000 fr. Total des dettes : 4'939’215 fr. Cette évaluation est fondée sur les indications données par Me K.________ lors de son audition à l’audience du 10 novembre 2014. Dans cette hypothèse, la part revenant à la recourante s’élèverait à 1'500'000 fr. (valeur vénale + dettes : 2 – dettes = fr. 780'392 fr. 50). Evaluation défavorable - valeur vénale de l’immeuble de Nyon (prompte réalisation) entre 5'000'000 fr. (dont à déduire encore d’éventuels rattrapage et amende du fisc) et   5'800'000 fr. - prêts consentis par le de cujus (au lieu de 610'000 fr.) 1'480'000 fr. - autres postes identiques à la première évaluation Dans cette estimation, les dettes de la recourante envers la succession totalisent 5'809'215, ce qui laisse subsister (selon le calcul du premier juge consistant à déduire les dettes de la valeur vénale de l’immeuble) une part lui revenant entre 9'215 fr. et 809'215 francs. b) La recourante  se réfère à un courrier de Me K.________ du 8 avril 2013 déclarant suffisant l’argent de la succession pour poursuivre le versement d’avances. Ce document n’est toutefois pas pertinent dès lors que son auteur a donné des indications actualisées, chiffrées et plus précises lors de son audition du 10 novembre 2014. c) En ce qui concerne les autres éléments d’appréciation chiffrés, la recourante conteste le prêt de 2'400'000 consacré à l’acquisition de son chalet de Gstaad et soutient qu’il s’agissait en réalité d’un montant de 1'388'000 fr. figurant dans l’inventaire du 13 mars 2009 dressé par Me [...], exécuteur testamentaire. Outre que ce montant de 2'400'000 fr. a été pris en compte par Me K.________ et par l’arrêt de la CREC du 4 décembre 2013, son existence ressort de la pièce 56, le de cujus y ayant écrit : « Chalet Gstaad : Le chalet a été acheté par mon épouse, j’ai avancé en prêt la somme de 2'400'000 CHF. Dont la moitié a servi à l’achat du mobilier-puisque ce prêt sera ramené à la succession, tout le mobilier du chalet est à HS ». Dans ces circonstances, on ne saurait reprocher au premier juge un abus de son pouvoir d’appréciation à faire figurer un prêt de ce montant dans les projections et calculs. d) La recourante s’en prend ensuite au loyer mensuel de 10'000 fr. pour l’immeuble de la succession qu’elle habite à Nyon, ce poste de loyers cumulés atteignant 670'000 francs dans la décision attaquée. Elle fait valoir en substance qu’elle est contrainte de jouir de cet immeuble n’ayant pas la possibilité de loger ailleurs. Ce poste de loyers apparaît tant dans l’arrêt précité de la CREC, que dans un projet de partage établi par l’exécuteur testamentaire (cf. pièce 16 p. 5), que dans l’évaluation chiffrée du représentant officiel de l’hoirie. Contrairement à ce que la recourante soutient, dans la perspective du partage, tenir compte de la valeur économique de la jouissance exclusive par l’héritier d’un immeuble de l’hoirie n’a rien d’arbitraire, mais s’avère au contraire indispensable au respect du principe de l’indivision jusqu’au partage et de l’égalité entre héritiers. Pour estimables qu’elles soient les préoccupations et les difficultés personnelles d’un héritier ne peuvent conduire à lui accorder plus que sa part. Le grief n’est donc pas fondé. e) La recourante conteste avoir bénéficié de prêts de la part de son défunt mari. Elle qualifie ce poste d’imaginaire et se réfère à l’arrêt CREC du 24 novembre 2014 qui aurait écarté ces prêts. En réalité, la CREC, au considérant 2.2 de son arrêt, a écarté des pièces – présentées uniquement en deuxième instance (7 et 9 à 18 du bordereau du 11 juillet 2013) et donc irrecevables à ce stade de la procédure – censées prouver l’existence et l’importance de ces prêts ; cela étant, ne disposant pas de données permettant d’évaluer ce poste, elle a annulé la décision sur l’octroi des avances successorales et renvoyé la cause en première instance pour complément d’instruction. Dans ce contexte, il est incontestable que les pièces produites, qui figurent au dossier soumis au premier juge, étaient désormais recevables en première instance, donc en 2 ème instance. Or, dites pièces comportent de nombreux avis de débit des comptes bancaires du de cujus en faveur de la recourante, avis parfois annotés des mentions « prêt » ou « avance sur hoirie », parfois dépourvus de toute indication sur leur cause, dont le total atteint un montant de 1'480'075 fr. 58 (pièces 9 à 18). Retenir ce chiffre, ressortant de pièces, pour l’intégrer selon toute vraisemblance à la dette de la recourante envers la succession ne procède d’aucun arbitraire et la recourante ne formule aucune critique pertinente sur ces points. f) Pour le surplus, le versement d’avances dépend évidemment de la valeur de la part estimée de l’héritier bénéficiaire, part que le total des avances ne saurait dépasser sans porter atteinte aux parts effectives des autres héritiers. En l’occurrence, il n’y a pas de violation de l’égalité de traitement entre la recourante et la situation de l’héritier G.R.________ auquel tous les héritiers ont été d’accord de consentir des avances modestes largement couvertes par sa part successorale.</w:t>
      </w:r>
    </w:p>
    <w:p>
      <w:r>
        <w:rPr>
          <w:b/>
        </w:rPr>
        <w:t>E. 5</w:t>
      </w:r>
    </w:p>
    <w:p>
      <w:r>
        <w:t>a) En définitive, pour les motifs qui précèdent, la motivation du premier juge doit être confirmée et le recours rejeté selon le mode procédural de l’art. 322 al. 1 CPC. b) Les frais judiciaires de deuxième instance, fixés à 5'000 fr. (art. 74 al. 2 TFJC), seront mis provisoirement à la charge de l’Etat en raison de l’assistance judiciaire accordée à recourante. c) Le conseil de la recourante a indiqué, dans sa liste d'opérations, qu’il avait consacré au total 11h45 à la procédure, dont 9h45 consacrées à la rédaction même du recours et 2 heures à la rédaction de courriers, requête, fax et courriels, aux prises de connaissance et au traitement du dossier. Compte tenu de la connaissance du dossier de première instance par le conseil d'office et de l'absence de difficultés particulières des griefs soulevés en deuxième instance, le temps consacré à la rédaction du recours apparaît exagéré et doit être réduit à 5 heures. Il s'ensuit qu'au tarif horaire de 180 fr., l'indemnité de Me Antoine Eigenmann, pour les 7 heures retenues, doit être fixée à 1’260 fr., montant auquel s'ajoutent les débours forfaitaires fixés à 50 fr. et la TVA sur le tout par 104 fr. 80, soit 1'414 fr. 80 au total. d) La bénéficiaire de l'assistance judiciaire est, dans la mesure de l'art. 123 CPC, tenue au remboursement des frais judiciaires et de l'indemnité de son conseil d'office mis à la charge de l'Etat. e) Il n’y a pas matière à dépens, les intimés n’ayant pas été invités à se déterminer. Par ces motifs, la Chambre des recours civile du Tribunal cantonal, en application de l'art. 322 al. 1 CPC, prononce : I. Le recours est rejeté. II. Le prononcé est confirmé. III. Les frais judiciaires de deuxième instance, arrêtés à 5'000 fr. (cinq mille francs), sont laissés à la charge de l’Etat. IV. L’indemnité d’office de Me Antoine Eigenmann, conseil de la recourante, est arrêtée à 1'414 fr. 80 (mille quatre cent quatorze francs et huitante centimes). V. La bénéficiaire de l’assistance judicaire est, dans la mesure de l’art. 123 CPC, tenue au remboursement des frais judicaires et de l’indemnité du conseil d’office mis à la charge de l’Etat. VI. L’arrêt motivé est exécutoire. Le président :               La greffière : Du 11 août 2015 Le dispositif de l'arrêt qui précède est communiqué par écrit aux intéressés. La greffière : Du L'arrêt qui précède, dont la rédaction a été approuvée à huis clos, est notifié en expédition complète, par l'envoi de photocopies, à : ‑ Me Antoine Eigenmann (pour  A.R.________), ‑ Me François Roux (pour H.R.________), - Me Patricia Michellod (pour B.R.________ , C.R.________, D.R.________, E.R.________) et  F.R.________), - Me Doris Leuenberger (pour G.R.________).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