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876 vom 19. Oktober 2015</w:t>
      </w:r>
    </w:p>
    <w:p>
      <w:r>
        <w:t>VD Tribunal cantonal, 2015-10-19, FR</w:t>
      </w:r>
    </w:p>
    <w:p>
      <w:r>
        <w:rPr>
          <w:b/>
        </w:rPr>
        <w:t xml:space="preserve">Quelle: </w:t>
      </w:r>
      <w:r>
        <w:t>https://mcp.opencaselaw.ch/entscheid/vd_findinfo_HC___2015___876</w:t>
      </w:r>
    </w:p>
    <w:p>
      <w:r>
        <w:t>FR: VD_FINDINFO HC / 2015 / 876 du 19 octobre 2015</w:t>
      </w:r>
    </w:p>
    <w:p>
      <w:r>
        <w:t>IT: VD_FINDINFO HC / 2015 / 876 del 19 ottobre 2015</w:t>
      </w:r>
    </w:p>
    <w:p>
      <w:pPr>
        <w:pStyle w:val="Heading2"/>
      </w:pPr>
      <w:r>
        <w:t>Regeste</w:t>
      </w:r>
    </w:p>
    <w:p>
      <w:r>
        <w:t>DÉCISION D'IRRECEVABILITÉ, MOTIVATION DE LA DEMANDE, OBLIGATION DE CHIFFRER LES CONCLUSIONS | 321 al. 1 CPC (CH)</w:t>
      </w:r>
    </w:p>
    <w:p>
      <w:pPr>
        <w:pStyle w:val="Heading2"/>
      </w:pPr>
      <w:r>
        <w:t>Volltext</w:t>
      </w:r>
    </w:p>
    <w:p>
      <w:r>
        <w:t>Vaud Tribunal cantonal Chambre des recours civile 19.10.2015 HC / 2015 / 876</w:t>
      </w:r>
    </w:p>
    <w:p>
      <w:r>
        <w:t>DÉCISION D'IRRECEVABILITÉ, MOTIVATION DE LA DEMANDE, OBLIGATION DE CHIFFRER LES CONCLUSIONS | 321 al. 1 CPC (CH)</w:t>
      </w:r>
    </w:p>
    <w:p>
      <w:r>
        <w:t>TRIBUNAL CANTONAL AJ14.036627-151690 360 CHAMBRE DES RECOURS CIVILE _________________________________________ Arrêt du 19 octobre 2015 ____________________ Composition :               M. WINZAP, président M. Sauterel et Mme Courbat, juges Greffière :              Mme Boryszewski ***** Art. 321 al. 1 CPC Statuant à huis clos sur le recours interjeté par W.________ , à Orbe, contre le prononcé rendu le 1 er octobre 2015 par le Président du Tribunal d'arrondissement de la Broye et du Nord vaudois, dans la cause concernant le recourant, la Chambre des recours civile du Tribunal cantonal considère : En fait et en droit : 1. Par prononcé du 1 er octobre 2015, envoyé pour notification le même jour, le Président du Tribunal d'arrondissement de la Broye et du Nord vaudois a fixé l'indemnité de Me [...], conseil d'office de W.________, à 2'788 fr. 10, débours et TVA compris, pour la période du 26 juin 2014 au 28 septembre 2015 (I), dit que le bénéficiaire de l'assistance judiciaire est, dans la mesure de l'art. 123 CPC (Code de procédure civile du 19 décembre 2008, RS 272), tenu au remboursement de l'indemnité du conseil d'office mise à la charge de l'Etat (II). Par courrier du 9 octobre 2015, W.________ a interjeté recours contre le prononcé précité requérant la liste détaillée, ainsi que des précisions quant aux opérations effectuées par Me [...], dans le cadre de sa procédure en divorce, entre le 26 juin 2014 et le 28 septembre 2015, soutenant que le montant que le premier juge lui a alloué est excessif. 2. a) Le recours, écrit et motivé, doit être introduit auprès de l’instance de recours dans les 10 jours à compter de la notification de la décision motivée (art. 321 al. 2 CPC). Les exigences de motivation du recours correspondent au moins à celles applicables à l’appel (TF 5A_247/2013 du 15 octobre 2013 c. 3.4). Ainsi, le recourant ne peut se contenter de renvoyer aux écritures précédentes ou aux moyens soulevés en première instance; il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Le recours doit en outre contenir, sous peine d'irrecevabilité, des conclusions en annulation ou au fond (Jeandin, CPC commenté, n. 5 ad art. 321 CPC), soit l’exposé de ce que la partie veut que le tribunal lui alloue dans sa décision (Tappy, CPC commenté, n. 11 ad art. 221 CPC).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b) En l’espèce, il apparaît que le recourant n'a pas précisément indiqué ce qu'il contestait dans le prononcé attaqué et n'a pris aucune conclusion. Quant à la liste détaillée des opérations effectuées par son conseil d'office le recourant avait la possibilité de consulter le dossier pour vérifier la concordance entre les heures de travail indiquées et les opérations ressortant du dossier. Ainsi, pour ces motifs, le recours de W.________ est irrecevable. L’intimé n’ayant pas été invité à se déterminer, il n’y a pas lieu d’allouer des dépens. Par ces motifs, la Chambre des recours civile du Tribunal cantonal, en application de l'art. 322 al. 1 CPC, prononce : I. Le recours est irrecevable. II. Le prononcé est confirmé. III. L’arrêt, rendu dans frais, est exécutoire. Le président :               La greffière : Du L'arrêt qui précède, dont la rédaction a été approuvée à huis clos, est notifié à : ‑ M. W.________, ‑ Me [...].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