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856 vom 24. September 2015</w:t>
      </w:r>
    </w:p>
    <w:p>
      <w:r>
        <w:t>VD Tribunal cantonal, 2015-09-24, FR</w:t>
      </w:r>
    </w:p>
    <w:p>
      <w:r>
        <w:rPr>
          <w:b/>
        </w:rPr>
        <w:t xml:space="preserve">Quelle: </w:t>
      </w:r>
      <w:r>
        <w:t>https://mcp.opencaselaw.ch/entscheid/vd_findinfo_HC___2015___856</w:t>
      </w:r>
    </w:p>
    <w:p>
      <w:r>
        <w:t>FR: VD_FINDINFO HC / 2015 / 856 du 24 septembre 2015</w:t>
      </w:r>
    </w:p>
    <w:p>
      <w:r>
        <w:t>IT: VD_FINDINFO HC / 2015 / 856 del 24 settembre 2015</w:t>
      </w:r>
    </w:p>
    <w:p>
      <w:pPr>
        <w:pStyle w:val="Heading2"/>
      </w:pPr>
      <w:r>
        <w:t>Regeste</w:t>
      </w:r>
    </w:p>
    <w:p>
      <w:r>
        <w:t>PROTECTION DE L'UNION CONJUGALE, MODIFICATION DES CIRCONSTANCES, REVENU HYPOTHÉTIQUE, RÉTROACTIVITÉ | 176 al. 1 ch. 1 CC, 179 al. 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 2 let. a CPC)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Dans un premier grief, l’appelant reproche au premier juge de n’avoir pas modifié la contribution d’entretien de façon rétroactive au 1 er janvier 2014, alors même que dans le prononcé sur modification de mesures protectrices de l’union conjugale du 5 février 2015, le même juge avait modifié la contribution d’entretien avec effet rétroactif au 1 er décembre 2013. Il invoque une violation des règles de l’équité et une violation de l’égalité de traitement. b) Une fois que des mesures protectrices de l'union conjugale ont été ordonnées, elles ne peuvent être modifiées qu'aux conditions de l'art. 179 CC (Code civil suisse du 10 décembre 1907 ; RS 2010). Selon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toutefois également être demandée en l’absence de faits nouveaux, si la décision de mesures provisoires s'est révélée par la suite injustifiée parce que le juge appelé à statuer n'a pas eu connaissance de faits importants (ATF 129 III 60 c. 2; TF 5A_720/2011 du 8 mars 2012 c. 4.1.2 et les réf. cit.; TF 5A_811/2012 du 18 février 2013 c.3.2 et les réf. cit.). Cette soupape, rendue nécessaire par le caractère expédient de la procédure de mesures protectrices de l’union conjugale, constitue une sorte de révision facilitée. Une décision rendue alors que certains faits ont été intentionnellement cachés ou fondée sur des déclarations mensongère d’une partie doit être modifiée (Chaix, Commentaire romand Code civil I, 2010, n. 5 ad art. 179 CC et les réf. cit.).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et les réf. cit.; sur le tout: TF 5A_153/2013 du 24 juillet 2013 c. 2.1; TF 5A_245/2013 du 24 septembre 2013 c. 3.1; TF 5A_15/2014 du 28 juillet 2014 c. 3), car la procédure de modification n'a pas pour but de corriger le premier jugement, mais de l'adapter aux circonstances nouvelles (TF 5A_33/2015 du 28 avril 2015 c. 4.1). 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Il s’agit ainsi d’un régime d’exception (De Luze/Page/Stoudmann, Droit de la famille, 2013, n. 1.17 ad art. 276 CPC et les réf. cit.). A l'inverse, le juge peut aussi, dans des circonstances très exceptionnelles, retenir une date antérieure au dépôt de la requête (TF 5A_894/2010 du 15 avril 2011 c. 6.2., in RSPC 2011 p. 315). Tel peut être le cas en cas de domicile inconnu ou d'absence de longue durée de la partie défenderesse, de comportement contraire à la bonne foi d'une partie ou de maladie grave de la partie requérante (TF 5A_597/2013 du 4 mars 2014 c. 3.1, FamPra.ch 2014 p. 725 ; TF 5A_894/2010 du 15 avril 2011 c. 6.2., RSPC 2011 p. 315). c) En l’espèce, le premier juge, après avoir procédé à un examen approfondi de la situation des parties, a relevé deux modifications de fait durables depuis le prononcé du 5 février 2015: d’une part, l’appelant s’était fait licencier et était désormais au bénéfice des indemnités de l’assurance-chômage, ce qui diminuait durablement ses revenus. D’autre part, l’intimée avait quitté l’ancien domicile conjugal pour s’installer avec les enfants dans un appartement loué, ce qui augmentait durablement ses charges. Le premier juge a également relevé la présence d’une circonstance certes pas nouvelle, mais dont il n’avait pas eu connaissance lors du précédent prononcé : l’intimée exerçait une activité accessoire d’enseignante de percussions, ce qui augmentait ses revenus. Sur la base des faits nouveaux ainsi constatés, le premier juge, en application de la méthode du minimum vital avec répartition de l’excédent, a recalculé les revenus et les minima vitaux respectifs des parties et est parvenu à la conclusion que la contribution d’entretien mensuelle due par l’appelant envers les siens devait s’élever à 4'400 francs. Il a décidé que la pension ainsi modifiée prendrait effet au 1 er mai 2015, soit le mois du dépôt de la requête en modification des mesures protectrices de l’union conjugale de l’appelant du 8 mai 2015. Comme le prononcé précédent du 5 février 2015 prévoyait déjà que la pension s’élèverait à 4'400 fr. dès le 1 er septembre 2014, le premier juge a pu se contenter de mentionner au chiffre I du dispositif que l’appelant continuerait de payer une contribution d’entretien de 4'400 francs. Toutefois, dans les faits, la modification de la contribution d’entretien a pris effet au moment de la requête de l’appelant. Ainsi, force est de constater que le premier juge a fait application des principes jurisprudentiels cités plus haut et, à juste titre, fait partir la pension modifiée au moment de la requête en modification. Son appréciation peut être confirmée, aucune circonstance exceptionnelle ne justifiant dans le cas d’espèce d’opter pour une entrée en vigueur postérieure à la requête ou, au contraire, d’accorder un effet rétroactif à la contribution d’entretien modifiée. Dans son appel, l’appelant mélange deux notions : le principe de la non-rétroactivité de la pension modifiée d’une part et les circonstances permettant la modification de la pension en l’absence de faits nouveaux à proprement parler mais  en présence de faits ignorés par le premier juge d’autre part. Dans son analyse, le premier juge a à juste titre distingué ces deux notions en relevant que des faits dont il ignorait l’existence au moment du prononcé du 5 février 2015 - l’activité accessoire de l’intimée en tant qu’enseignante de percussions - justifiaient une modification de la pension, tout en faisant partir la contribution d’entretien modifiée au moment de la requête en modification du 8 mai 2015. L’appelant n’a pas tort lorsqu’il affirme que les deux prononcés successifs sont contradictoires : le prononcé du 5 février 2015 fait rétroagir la pension effectivement due au mois de décembre 2013, la requête en modification datant du 12 juin 2014, alors que le prononcé attaqué fait partir la pension effectivement due à la date du dépôt de la requête en modification du 8 mai 2015, quand bien même l’appelant a conclu à la diminution de la pension avec effet rétroactif jusqu’au mois de janvier 2014. Toutefois, comme il a été exposé plus haut, le premier juge a justifié sa décision de faire partir la pension à la date du dépôt de la requête en citant une jurisprudence constante et son appréciation doit être confirmée. L’appelant n’entreprend au demeurant pas de critiquer cette appréciation. Il se borne essentiellement à affirmer qu’elle est arbitraire au regard de la décision précédente. Une telle argumentation n’est pas pertinente, l’appelant ne pouvant pas se réclamer d’une décision antérieure et exécutoire pour conclure que la décision postérieure serait arbitraire. Il appartenait à l’appelant de s’en prendre à la première décision, qui ne fait pas l’objet de l’appel, s’il considérait que le premier juge ne pouvait pas faire rétroagir les pensions effectivement dues pour l’entretien des siens. Un décompte entre parties pourra, cas échéant, intervenir dans le cadre de la liquidation du régime matrimonial. Partant, force est de constater que le grief est mal fondé.</w:t>
      </w:r>
    </w:p>
    <w:p>
      <w:r>
        <w:rPr>
          <w:b/>
        </w:rPr>
        <w:t>E. 4</w:t>
      </w:r>
    </w:p>
    <w:p>
      <w:r>
        <w:t>a) Dans un deuxième grief, l’appelant reproche au premier juge de n’avoir pas pris en compte les revenus qu’il touche effectivement du fait de son projet d’activité indépendante et d’avoir retenu un revenu hypothétique correspondant aux indemnités de l’assurance-chômage qu’il toucherait s’il n’y avait pas renoncé. 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SJ 2011 I 177).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c) En l’espèce, le premier juge a relevé qu’alors même qu’il disposait auprès du chômage d’un délai-cadre jusqu’au 1 er février 2017 lui donnant droit à 400 indemnités journalières, l’appelant n’a pas effectué une seule recherche d’emploi dans son ancien domaine d’activité et a renoncé aux indemnités de l’assurance-chômage pour se lancer immédiatement dans une activité d’exploitant de chantier naval dont on peut difficilement prédire si elle va lui permettre de générer des revenus de nature à assurer l’entretien de sa famille. Dès lors, il se justifiait de ne pas prendre en compte les revenus réalisés dans le cadre de l’activité en tant qu’indépendant mais d’imputer à l’appelant un revenu hypothétique correspondant aux indemnités du chômage qu’il aurait continué de percevoir s’il avait continué à chercher un emploi dans son domaine d’activité, soit un montant mensuel net de 7'366 fr. 20. Cette analyse peut être entièrement confirmée. L’appelant, qui savait devoir assumer des obligations d’entretien envers sa famille, s’est lancé dans une activité indépendante qui, de toute évidence, impliquait une diminution significative de ses revenus par rapport à ceux qu’il pouvait réaliser en continuant de chercher du travail dans l’industrie alimentaire et en percevant ainsi les indemnités de l’assurance-chômage. L’argument de l’appelant selon lequel il ne lui serait pas possible de retrouver un travail similaire au vu du burn out subi ne convainc pas, l’appelant n’ayant pas été en mesure de documenter une quelconque incapacité de travail. Bien plus, l’appelant, qui s’est lancé avec sa compagne dans l’exploitation d’un chantier naval, semble être en pleine possession de ses moyens. Il faut donc considérer que l’appelant, de par ses choix professionnels, a de son plein gré diminué ses revenus, alors même qu’il lui était possible, en continuant de chercher du travail dans un domaine où il disposait d’une expérience certaine et où il occupait un poste de cadre, de réaliser un revenu lui permettant d’assurer l’entretien des siens. Par conséquent, son épouse et ses enfants n’ayant pas à assumer les conséquences de cette décision, il se justifie pleinement de lui imputer un revenu hypothétique de 7'366 fr. 20. Le grief de l’appelant se révèle donc lui aussi mal fondé.</w:t>
      </w:r>
    </w:p>
    <w:p>
      <w:r>
        <w:rPr>
          <w:b/>
        </w:rPr>
        <w:t>E. 5</w:t>
      </w:r>
    </w:p>
    <w:p>
      <w:r>
        <w:t>Il découle des considérants qui précèdent que l’appel, manifestement infondé, doit être rejeté selon le mode procédural de l’art. 312 al. 1 CPC. La cause de l’appelant étant dénuée de toute chance de succès vu les considérants qui précèdent, sa requête d’assistance judiciaire doit être rejetée (art. 117 let. b CPC). Les frais judiciaires de deuxième instance, arrêtés à 600 fr. (art. 65 al. 2 TFJC [tarif des frais judiciaires civils du 28 septembre 2010 ; RSV 270.11.5]), seront mis à la charge de l’appelant, qui succombe (art. 106 al. 1 CPC). Il n’y a pas lieu d’accorder de dépens, dès lors que l’intimée n’a pas été invitée à se prononcer. Par ces motifs, le juge délégué de la Cour d’appel civile du Tribunal cantonal, prononce : I. L’appel est rejeté. II. Le prononcé est confirmé. III . La requête d’assistance judiciaire est rejetée. IV . Les frais judiciaires de deuxième instance, arrêtés à 600 fr. (six cents francs), sont mis à la charge de l’appelant A.P.________. V. L’arrêt motivé est exécutoire. Le juge délégué : Le greffier : Du 25 septembre 2015 Le dispositif de l'arrêt qui précède est communiqué par écrit aux intéressés. Le greffier : Du L'arrêt qui précède, dont la rédaction a été approuvée à huis clos, est notifié en expédition complète, par l'envoi de photocopies à : ‑ Me Charles Munoz (pour A.P.________), ‑ Me Bertrand Pariat (pour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