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838 vom 28. September 2015</w:t>
      </w:r>
    </w:p>
    <w:p>
      <w:r>
        <w:t>VD Tribunal cantonal, 2015-09-28, FR</w:t>
      </w:r>
    </w:p>
    <w:p>
      <w:r>
        <w:rPr>
          <w:b/>
        </w:rPr>
        <w:t xml:space="preserve">Quelle: </w:t>
      </w:r>
      <w:r>
        <w:t>https://mcp.opencaselaw.ch/entscheid/vd_findinfo_HC___2015___838</w:t>
      </w:r>
    </w:p>
    <w:p>
      <w:r>
        <w:t>FR: VD_FINDINFO HC / 2015 / 838 du 28 septembre 2015</w:t>
      </w:r>
    </w:p>
    <w:p>
      <w:r>
        <w:t>IT: VD_FINDINFO HC / 2015 / 838 del 28 settembre 2015</w:t>
      </w:r>
    </w:p>
    <w:p>
      <w:pPr>
        <w:pStyle w:val="Heading2"/>
      </w:pPr>
      <w:r>
        <w:t>Regeste</w:t>
      </w:r>
    </w:p>
    <w:p>
      <w:r>
        <w:t>NOUVEAU MOYEN DE FAIT, NOVA, PROTECTION DE L'UNION CONJUGALE | 317 al. 1 CPC (CH), 317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Formé en temps utile par une partie qui y a intérêt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L’appelant fait valoir un fait nouveau, à savoir que l’intimée a quitté le domicile conjugal. Il a notamment produit une impression de son écran de téléphone portable laissant apparaître un message de son épouse qui déclare effectivement être partie. L.Q.________ a d’ailleurs confirmé ce fait dans son courrier adressé au premier juge le 18 juillet 2015.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b) En l’espèce, le fait nouveau invoqué est établi et remplit manifestement les conditions de l’art. 317 al. 1 CPC, puisqu’il s’est produit pendant le délai d’appel. Dès lors que L.Q.________ s’est installée en France, comme elle l’a confirmé, qu’elle a, par cet acte, renoncé à occuper le domicile conjugal et qu’elle dispose d’un nouveau logement adéquat, il se justifie d’attribuer le logement familial à l’appelant.</w:t>
      </w:r>
    </w:p>
    <w:p>
      <w:r>
        <w:rPr>
          <w:b/>
        </w:rPr>
        <w:t>E. 4</w:t>
      </w:r>
    </w:p>
    <w:p>
      <w:r>
        <w:t>Partant, l’appel est admis, le chiffre IV du dispositif de l’ordonnance étant modifié en ce sens que la jouissance du domicile conjugal, sis Chemin [...], à [...], est attribuée à A.Q.________, à charge pour lui d’en payer les intérêts hypothécaires et les charges, et le chiffre V étant purement et simplement supprimé. Compte tenu de la nature de la cause (art. 107 al. 1 let. c CPC) et des circonstances particulières de cette dernière, les frais judiciaires de deuxième instance, arrêtés à 600 fr. (art. 65 al. 2 TFJC [tarif des frais judiciaires civils du 28 septembre 2010, RSV 270.11.5]), seront répartis par moitié entre les parties et les dépens seront compensés. Par ces motifs, le Juge délégué de la Cour d’appel civile du Tribunal cantonal prononce : I. L’appel est admis. II. L’ordonnance du 30 juin 2015 est réformée et les chiffres IV et V de son dispositif sont modifiés comme suit : IV. attribue la jouissance du domicile conjugal, sis Chemin [...], à [...], à A.Q.________, à charge pour lui d’en payer les intérêts hypothécaires et les charges. V. supprimé. L’ordonnance est maintenue pour le surplus. III. Les frais judiciaires de deuxième instance, arrêtés à 600 fr. (six cents francs), sont mis à la charge de l’appelant A.Q.________, par 300 fr. (trois cents francs), et à la charge de l’intimée L.Q.________, par 300 fr. (trois cents francs). IV. L’intimée L.Q.________ doit verser à l’appelant A.Q.________ le montant de 300 fr. (trois cents francs) à titre de remboursement partiel de l’avance de frais effectuée par celui-ci. V. Les dépens de deuxième instance sont compensés. VI. L’arrêt est exécutoire. Le juge délégué : La greffière : Du L'arrêt qui précède, dont la rédaction a été approuvée à huis clos, est notifié à : ‑ Me Claudio Fedele (pour A.Q.________), ‑ Mme L.Q.________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