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833 vom 6. Oktober 2015</w:t>
      </w:r>
    </w:p>
    <w:p>
      <w:r>
        <w:t>VD Tribunal cantonal, 2015-10-06, FR</w:t>
      </w:r>
    </w:p>
    <w:p>
      <w:r>
        <w:rPr>
          <w:b/>
        </w:rPr>
        <w:t xml:space="preserve">Quelle: </w:t>
      </w:r>
      <w:r>
        <w:t>https://mcp.opencaselaw.ch/entscheid/vd_findinfo_HC___2015___833</w:t>
      </w:r>
    </w:p>
    <w:p>
      <w:r>
        <w:t>FR: VD_FINDINFO HC / 2015 / 833 du 6 octobre 2015</w:t>
      </w:r>
    </w:p>
    <w:p>
      <w:r>
        <w:t>IT: VD_FINDINFO HC / 2015 / 833 del 6 ottobre 2015</w:t>
      </w:r>
    </w:p>
    <w:p>
      <w:pPr>
        <w:pStyle w:val="Heading2"/>
      </w:pPr>
      <w:r>
        <w:t>Regeste</w:t>
      </w:r>
    </w:p>
    <w:p>
      <w:r>
        <w:t>MESURE DE CONTRAINTE{DROIT DES ÉTRANGERS}, DÉTENTION AUX FINS D'EXPULSION | 76 al. 1 let. b ch. 3 LEtr, 76 al. 1 let. b ch. 4 LEtr, 80 al. 4 LEtr, 80 al. 6 let. a LEtr</w:t>
      </w:r>
    </w:p>
    <w:p>
      <w:pPr>
        <w:pStyle w:val="Heading2"/>
      </w:pPr>
      <w:r>
        <w:t>Erwägungen</w:t>
      </w:r>
    </w:p>
    <w:p>
      <w:r>
        <w:rPr>
          <w:b/>
        </w:rPr>
        <w:t>E. 1</w:t>
      </w:r>
    </w:p>
    <w:p>
      <w:r>
        <w:t>LVLEtr).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(art. 30 al. 2 LVTEtr) dès la notification de l’ordonnance attaquée, le recours est recevable.</w:t>
      </w:r>
    </w:p>
    <w:p>
      <w:r>
        <w:rPr>
          <w:b/>
        </w:rPr>
        <w:t>E. 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 17 et 20 LVLEtr. Saisi d’une requête motivée et documentée du SPOP, ce magistrat a procédé à l’audition du recourant le même jour. Le recourant a été entendu et ses déclarations ont été résumées au procès-verbal dans ce qu’elles avaient d’utile (art. 21 al. 1 et 2 LVLEtr). A l’issue de l’audition, le premier juge a immédiatement rendu un ordre de détention et sa décision motivée a été notifiée le 26 août 2015 au recourant, soit dans le délai légal de 96 heures (art. 16 al. 1 LVLEtr). La procédure de mise en détention est dès lors conforme et le recourant n’en disconvient par ailleurs pas.</w:t>
      </w:r>
    </w:p>
    <w:p>
      <w:r>
        <w:rPr>
          <w:b/>
        </w:rPr>
        <w:t>E. 4</w:t>
      </w:r>
    </w:p>
    <w:p>
      <w:r>
        <w:t>a) Le recourant fait d’abord valoir qu’il serait le père d’un enfant à naître et qu’il aurait informé les autorités de son concubinage avec la mère de l’enfant, de nationalité suisse, le 8 août 2015. Dès lors que sa situation familiale empêche l’exécution de son renvoi, il considère que sa détention est illégale. b) 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 4 ; TF 2C_473/2010 du 25 juin 2010 c. 4.1 et les réf.). Tel est par exemple le cas si le déplacement de la personne concernée n’est pas concevable pour des raisons de santé ou qu’un Etat refuse de reprendre certains de ses ressortissants (ATF 125 Il 217 c. 2).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 du 13 février 2009 c. 6.2 ; TF 2C_445/2007 du 30 octobre 2007 c. 4.2 ; TF 2A_47/2007 du 18 avril 2007 c.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 3 et les réf. citées). Selon la pratique, le juge de la détention ne peut refuser d’approuver la mise en détention en vue du renvoi que lorsque la décision de renvoi apparaît comme manifestement infondée (ATF 130 lI 56 c. 2 ; ATF 128 II 193 c. 2.2.2 ; TF 2C_304/2012 du 1 er mai 2012 c. 2.1 ; TF 2C_505/2012 du 19 juin 2012).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la réf.). Dans une autre cause (TF 2C_505/2012 du 19 juin 2012 c. 4.2), la Haute cour a estimé que les éléments familiaux invoqués par le recourant étaient des éléments qui relevaient du bien-fondé de la décision de renvoi et que compte tenu des nombreuses condamnations pénales du recourant, en particulier de la peine privative de liberté de deux ans prononcée notamment pour infraction grave à la LStup, la décision de renvoi n’apparaissait pas manifestement infondée, même en tenant compte de la naissance ultérieure des deux enfants du recourant et de son projet de mariage. c) Il est manifeste en l’espèce que la décision de renvoi est licite et ne saurait être remise en question dans le cadre de la présente procédure. Non seulement le recourant ne rend pas suffisamment vraisemblable sa paternité, la seule production à l’appui de ses affirmations d’une échographie étant insuffisante, mais cette paternité éventuelle ne modifierait de toute manière pas le bien-fondé de la décision de renvoi, compte tenu de l’importance des condamnations pénales infligées, en particulier la peine privative de liberté de sept ans et trois mois prononcée le 21 mai 2007, notamment pour lésions corporelles simples, brigandage, extorsion et chantage.</w:t>
      </w:r>
    </w:p>
    <w:p>
      <w:r>
        <w:rPr>
          <w:b/>
        </w:rPr>
        <w:t>E. 5</w:t>
      </w:r>
    </w:p>
    <w:p>
      <w:r>
        <w:t>a) Le recourant invoque également une violation de l’art. 76 al. 4 LEtr. Il soutient que les autorités de police des étrangers n’ont pas agi avec la célérité nécessaire, qu’elles ont tardé à procéder au renvoi et qu’il bénéficie ainsi d’un régime « de tolérance ». En outre, le renvoi ne serait pas exécutable dans des délais raisonnables.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L’art. 76 al. 4 LEtr prévoit que les démarches nécessaires à l’exécution du renvoi ou de l’expulsion doivent être entreprises sans tarder. Pour apprécier la diligence de l’autorité cantonale, il y a lieu de tenir compte des difficultés que l’étranger lui-même provoque et des lenteurs dues aux représentants du pays d’origine, si ceux-ci ont été contactés en temps utile et, dans la mesure du possible, relancés (Wurzburger, La jurisprudence récente du Tribunal fédéral en matière de police des étrangers, RDAF 1997 I p. 267 ss, p. 331). c) En l’espèce, le 27 octobre 2011, le SPOP a imparti au recourant un délai de départ immédiat, dès qu’il aurait satisfait aux décisions judiciaires rendues à son encontre. Par jugement du Tribunal de police du 17 mai 2013, l’intéressé a encore été condamné à une peine privative de liberté de quatre mois pour violation grave des règles de la circulation, décision qui a été confirmée par la Cour d’appel pénale du Tribunal cantonal le 1 er octobre 2013, puis par le Tribunal fédéral le 1 er mai 2014. A cela s’ajoute une peine pécuniaire de 32 jours-amende prononcée le 2 mars 2015 par le Ministère public du Canton du Valais. Parallèlement, assisté de [...], le recourant a engagé diverses procédures auprès du Conseil d’Etat pour obtenir la grâce ou la suspension de la procédure de renvoi. Le 28 juillet 2015, le SPOP a vainement convoqué le recourant pour le 10 août 2015, de sorte que celui-ci a été inscrit au RIPOL le 12 août 2015. La demande de réadmission au Kosovo a été transmise au Secrétariat d’Etat aux Migrations le 21 août 2015 et la procédure de renvoi se poursuit depuis lors sans désemparer. Il n’y a donc aucune violation du principe de célérité et le renvoi de l’intéressé pourra être exécuté dans des délais raisonnables. Si la procédure n’a pas connu de progression en 2014, c’est en raison des multiples démarches entreprises par le recourant pour contester les décisions rendues.</w:t>
      </w:r>
    </w:p>
    <w:p>
      <w:r>
        <w:rPr>
          <w:b/>
        </w:rPr>
        <w:t>E. 6</w:t>
      </w:r>
    </w:p>
    <w:p>
      <w:r>
        <w:t>a) Il s’ensuit que le recours doit être rejeté et l’ordonnance entreprise confirmée. b) L’arrêt peut être rendu sans frais (art. 50 LPA-VD [loi vaudoise du 28 octobre 2008 sur la procédure administrative ; RSV 173.36]).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Alain Vuithier a produit une liste d’opérations faisant état de 6h54 de travail, de frais de vacation par 120 fr. et de débours par 123 francs. Au tarif horaire de 180 fr. (art. 2 al. 1 let. a RAJ [règlement du 7 décembre 2010 sur l'assistance judiciaire en matière civile ; RSV 211.02.3] par analogie), l’indemnité d’honoraires doit être fixée à 1'360 fr. 80 pour sept heures de travail (1'260 fr., plus 100 fr. 80 de TVA au taux de 8 %), les frais de vacation à 129 fr. 60, TVA comprise, et les débours à 54 fr., TVA comprise, soit au total 1'544 fr. 40. Par ces motifs, la Chambre des recours civile du Tribunal cantonal, prononce : I. Le recours est rejeté. II. L’ordonnance est confirmée. III. L’arrêt est rendu sans frais. IV. L’indemnité d’office de Maître Alain Vuithier, conseil d’office du recourant, est arrêtée à 1'544 fr. 40 (mille cinq cent quarante-quatre francs et quarante centimes). V. L'arrêt motivé est exécutoire. Le président :               La greffière : Du</w:t>
      </w:r>
    </w:p>
    <w:p>
      <w:r>
        <w:rPr>
          <w:b/>
        </w:rPr>
        <w:t>E. 7</w:t>
      </w:r>
    </w:p>
    <w:p>
      <w:r>
        <w:t>octobre 2015 Le dispositif de l'arrêt qui précède est communiqué par écrit aux intéressés. La greffière : Du L'arrêt qui précède, dont la rédaction a été approuvée à huis clos, est notifié en expédition complète, par l'envoi de photocopies, à : ‑ Me Alain Vuithier (pour K.________)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