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831 vom 6. Oktober 2015</w:t>
      </w:r>
    </w:p>
    <w:p>
      <w:r>
        <w:t>VD Tribunal cantonal, 2015-10-06, FR</w:t>
      </w:r>
    </w:p>
    <w:p>
      <w:r>
        <w:rPr>
          <w:b/>
        </w:rPr>
        <w:t xml:space="preserve">Quelle: </w:t>
      </w:r>
      <w:r>
        <w:t>https://mcp.opencaselaw.ch/entscheid/vd_findinfo_HC___2015___831</w:t>
      </w:r>
    </w:p>
    <w:p>
      <w:r>
        <w:t>FR: VD_FINDINFO HC / 2015 / 831 du 6 octobre 2015</w:t>
      </w:r>
    </w:p>
    <w:p>
      <w:r>
        <w:t>IT: VD_FINDINFO HC / 2015 / 831 del 6 ottobre 2015</w:t>
      </w:r>
    </w:p>
    <w:p>
      <w:pPr>
        <w:pStyle w:val="Heading2"/>
      </w:pPr>
      <w:r>
        <w:t>Regeste</w:t>
      </w:r>
    </w:p>
    <w:p>
      <w:r>
        <w:t>PROTECTION DE L'UNION CONJUGALE, OBLIGATION D'ENTRETIEN, CONCLUSIONS | 163 CC, 176 al. 1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b) L’art. 311 al. 1 CPC exige uniquement que l’appel soit écrit et motivé. A l’instar cependant de l’acte introductif d’instance (pour la procédure de conciliation : art. 202 al. 2 CPC ; pour la procédure ordinaire : art. 221 al. 1 let. b CPC : pour la procédure simplifiée : art. 244 al. 1 let. b CPC ; pour la procédure de divorce : art. 290 let. b à d CPC), l’acte d’appel doit également contenir des conclusions. Celles-ci doivent être rédigées d’une manière suffisamment précise pour pouvoir être reprises telles quelles dans le dispositif de la décision à rendre (TF 5A_713/2012 du 15 février 2013 c. 4.1 ; ATF 137 III 617 c. 4 à 6 et les références citées). Même lorsque la maxime d'office est applicable, l'appel doit contenir des conclusions chiffrées, s'agissant de conclusions pécuniaires (ici en contributions d'entretien pour les enfants), sous peine d'irrecevabilité. Il ne saurait être remédié à ce vice par la fixation d'un délai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JT 2014 II 187; TF 5A_855/2012 du 13 février 2013 c. 3.3.2; TF 5A_713/2012 du 15 février 2013 c. 4.1; TF 5A_621/2012 du 20 mars 2013, liquidation du régime matrimonial; TF 4A_383/2013 du 2 décembre 2013 c. 3.2.1, RSPC 2014 p. 221). Cette jurisprudence s'applique non seulement en mesures provisionnelles ou protectrices, mais également s'agissant d'un appel contre un jugement (de divorce) au fond (TF 5A_94/2013 du 6 mars 2013 c. 3.3.2). c) En l’espèce, même si les conclusions de l’appel n’ont pas été formulées clairement, on comprend que l’appelant conclut notamment au versement d’une pension mensuelle en faveur des siens qui s’élève à un montant maximum de 2'000 fr., payable le 10 de chaque mois en mains de l’intimée. Dans cette mesure, la conclusion de l’appelant relative à l’entretien de sa famille est recevable. En revanche, la conclusion de l’appelant tendant au rachat par l’intimée de sa part de PPE sur le domicile conjugal est irrecevable, dès lors qu’elle a trait à la liquidation du régime matrimonial des époux et qu’elle ne fait par conséquent pas l’objet de la présente procédure de mesures protectrices de l’union conjugale. Au reste, formé en temps utile par une personne justifiant d’un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 4.3.1; TF 4A_238/2015 du 22 septembre 2015 c. 2.2).</w:t>
      </w:r>
    </w:p>
    <w:p>
      <w:r>
        <w:rPr>
          <w:b/>
        </w:rPr>
        <w:t>E. 3</w:t>
      </w:r>
    </w:p>
    <w:p>
      <w:r>
        <w:t>a) L’appelant soutient que la pension mensuelle due aux siens doit être arrêtée à un montant maximal de 2'000 fr., dès lors que son salaire mensuel net s’élève à 8'136 fr. 15 et non pas à 8'225 fr. 95, comme retenu par le premier juge, qu’il n’y aurait pas lieu de tenir compte de son treizième salaire, qui ne lui est versé qu’en fin d’année, que les primes d’assurance-maladie complémentaire de l’intimée ne doivent pas être prises en compte et qu’il conviendrait en revanche de comptabiliser sa charge fiscale, estimée à 1'200 francs. Il soutient en outre que, compte tenu de ses difficultés financières, il se justifierait de fixer la date d’échéance des pensions mensuelles au 10 de chaque mois. b/aa) Pour fixer la contribution d’entretien due au conjoint à titre de mesures protectrices de l’union conjugale selon l’art. 176 al. 1 ch. 1 CC (Code civil suisse du 10 décembre 1907 ; RS 210),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puor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La prise en considération de ces critères ne signifie pas pour autant que le juge des mesures protectrices puisse trancher, même sous l’angle de la vraisemblance, les questions de fond, objet d’un éventuel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 TF 5A_591/2011 du 7 décembre 2011 c. 4.1.1 et réf. ; TF 5A_522/2011 du 18 janvier 2012 c. 4.1 ; TF 5A_973/2013 du 9 mai 2014 c. 6.3.3). Le principe du clean break ne joue par conséquent aucun rôle dans le cadre des mesures provisionnelles ou des mesures protectrices. De même, à lui seul, le fait que l’épouse dispose d’un disponible après couverture de son minimum vital n’est pas décisif non plus (TF 5A_228/2012 du 11 juin 2012 c. 4.3). De même encore, l’absence de perspectives de réconciliation ne justifie pas à elle seule la suppression de toute contribution d’entretien (TF 5A_304/2013 du 1 er novembre 2013 c. 4.1, SJ 2014 I 245 ; TF 5A_445/2014 du 28 août 2014 c. 4.2).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(TF 5A_15/2014 du 28 juillet 2014 c. 5.2.1 ; ATF 137 III 102 c. 4.2.1.1).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TF 5A_515/2008 du 1 er décembre 2008 c. 2.1; TF 5A_732/2007 du 4 avril 2008 c. 2.2; TF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 2.2.1; TF 5C.180/2002 du 20 décembre 2002 c. 5.2.2, in FamPra.ch 2003 pp. 428 ss, 430 et les citations). bb) Le revenu déterminant pour la fixation de la contribution d'entretien est le revenu effectif ou effectivement réalisable, soit s'agissant des revenus du travail, le revenu net, cotisations sociales déduites (de Luze/Page/Stoudmann, Droit de la famille, code annoté, n. 1.33 ad. art. 176 CC). 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(Chaix, Commentaire romand, CC I, 2010, n. 7 ad art. 176 CC). Le fait que le treizième salaire en soit versé qu’une fois par année ne place pas le travailleur dans une situation économique différente de celle de l’employé payé à la pièce ou de l’indépendant, dont les revenus sont variables : il se justifie dans ces cas de se fonder sur une moyenne des revenus, arrêtée sur une période adéquate. Même en présence d’une situation financière précaire, l’incorporation de la part au treizième salaire au revenu est préférable à un rattrapage unique intervenant lors du versement effectif de cette rémunération. Il n’est pas arbitraire de procéder de la sorte même s’il en résulte que le minimum vital du débirentier s’en trouve entamé (de Luze/Page/Stoudmann, op. cit., n. 1.34 ad. art. 176 CC et les références citées). cc)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les frais de déplacement, s’ils sont indispensables à l’exercice de la profession, et selon les circonstances, les frais liés à l'exercice du droit de visite, les impôts et les dettes contractées d'entente pour l'entretien du ménage (Chaix, op. cit., n. 9 ad art. 176 CC et les références citées; Bastons Bulletti, L'entretien après divorce: méthodes de calcul, montant, durée et limites, SJ 2007 II 84-88). Sont comprises dans les charges les primes d'assurance-maladie obligatoire. En cas d'accord des parties, les assurances complémentaires peuvent être intégrées dans le budget des parties (Chaix, op. cit., n. 9 ad art. 176 CC; Juge délégué CACI 18 avril 2011/53). Tel est le cas également lorsque l'état de santé d'un époux est grave (Juge délégué CACI 4 mai 2011/65) ou encore lorsque la situation financière des parties est favorable (TF 5A_876/2014 du 3 juin 2015 c. 3.3). Sinon, les assurances non obligatoires ne sont pas prises en compte (ATF 134 III 323 c. 3). Une dette envers un tiers ne doit être examinée qu’avec retenue lors de l’établissement du minimum vital du débirentier, afin de sauvegarder les intérêts du crédirentier : à défaut, le débiteur pourrait en effet à ce point diminuer sa capacité contributive, en assumant de telles dettes, que celle-ci pourrait même ne plus suffire à couvrir le montant de ses obligations d’entretien. Ainsi, pour autant que la situation financière des parties le permette, il peut être tenu compte d’une dette dans le calcul du minimum vital uniquement lorsqu’elle a été assumée aux fins de l’entretien des deux époux, mais non lorsqu’elle a été assumée au profit d’un seul d’entre eux, à moins que les deux époux n’en répondent solidairement (de Luze/Page/Stoudmann, op. cit., n. 1.72 ad. art. 176 CC et les références citées). Si les moyens des parties sont limités par rapport aux besoins vitaux, il n'y a pas lieu de prendre en considération les impôts courants, qui ne font pas partie des besoins vitaux (ATF 127 III 289 c. 2a/bb, 126 III 353 c. 1a/aa), ni les arriérés d'impôts (ATF 140 III 337 c. 4.4). Ce principe s'applique non seulement pour les contributions d'entretien dues dans le cadre de mesures protectrices de l'union conjugale (TF 5A_302/2011 du 30 septembre 2011 c. 6.3.1; TF 5A_511/2010 du 4 février 2011 c. 2.2.3), mais aussi pour les pensions dues pour l'entretien des enfants et du conjoint après divorce (TF 5A_332/2013 du 18 septembre 2013 c. 4.1 et les références citées). Il n'est pas arbitraire, même au regard de l'art. 296 al. 1 CPC, de renoncer à prendre en considération une charge fiscale de l'un des époux dans son budget, faute pour ce dernier d'avoir allégué le moindre élément à ce sujet (TF 5A_219/2014 du 26 juin 2014 c. 4.2.2 et 4.3). Le Tribunal fédéral a considéré que le juge de première instance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(cf. ATF 121 III 20 c. 3a p. 22 et les arrêts cités), et non sur des dépenses hypothétiques dont on ne sait si elles existeront finalement – et à concurrence de quel montant – ni si elles seront en définitive assumées (TF 5A_751/2008 du 31 mars 2009 c. 3.1.). dd) Concernant l’établissement des faits dans le cadre de mesures provisionnelles ou de mesures protectrices de l’union conjugale, le juge statue sur la base de la simple vraisemblance des faits après une administration limitée des preuves et un examen sommaire du droit (ATF 120 II 352 c. 2b ; ATF 127 III 474 c. 2b/bb ; TF 5A_661/2011 du 10 février 2012 c. 2.3), en se fondant sur les moyens de preuve immédiatement disponibles (ATF 131 III 473 c. 2.3 in limine ; TF 5A_497/2011 du 5 décembre 2011 c. 3.2 ; TF 5A_41/2011 du 10 août 2011 c. 4.2 in fine ; TF 5A_4/2011 du 9 août 2011 c. 3.2 ; TF 5A_720/2009 du 18 janvier 2010 c. 5.3). c) En l’espèce, à la lecture des décomptes de salaire produits, à savoir ceux de janvier et d’avril 2015, il y a lieu de retenir que le revenu mensuel net de l’appelant s’élève à 8'136 fr. 15. En y additionnant la part au treizième salaire, dont il doit être tenu compte en dépit du fait qu’il n’est versé qu’en fin d’année, le revenu de l’appelant doit être arrêté à 8'814 fr .15 (8'136 fr. 15 x 13 / 12). Contrairement à ce qui a été retenu par le premier juge, il ne se justifie pas de tenir compte, au vu de la jurisprudence précitée, des primes relatives à l’assurance-maladie complémentaire (LCA) souscrite par l’intimée, dès lors que la prise en compte de ces frais ne fait pas l’objet d’un accord des parties et que ni l’état de santé ni la situation financière des parties ne justifie sa comptabilisation parmi les charges de l’intimée. C’est en revanche à raison que le premier juge n’a pas retenu les intérêts et l’amortissement du crédit contracté par l’appelant en vue du rachat des actions de la société [...]. Il n’est en effet pas établi que cette dette ait été assumée aux fins de l’entretien de la famille, ni que les deux époux en répondent solidairement. Par ailleurs, malgré ses allégations en ce sens, l’appelant, qui est employé d’une fiduciaire dont il est également l’administrateur unique, n’a pas produit, ni en première instance, ni en procédure d’appel, la moindre pièce attestant du fait que son budget personnel est grevé d’une charge d’impôts, ni, le cas échéant, pour quel montant. En l’absence d’éléments relevants à ce sujet et à défaut d’avoir rendu vraisemblable l’existence d’une charge fiscale, il n’y a pas lieu, au stade des mesures protectrices de l’union conjugale, d’estimer une charge fiscale hypothétique et de la prendre en compte parmi les charges de l’appelant, étant encore précisé que le droit du débiteur à des garanties minimales d’existence ne peut être compromis par des contributions publiques. Il s’ensuit que la situation financière de l’appelant présente un disponible de 4'143 fr. 05, alors que celle de l’intimée fait état d’un déficit de 1'831 fr. 50. Après comblement du manco de l’intimée, il subsiste chez l’appelant un solde de 2’311 fr. 55 (4'143 fr. 05 – 1'831 fr. 50). Ce montant doit être réparti à raison de 67% pour l’intimée, qui vit avec les deux enfants du couple, dont l’une est majeure mais encore en formation, et de 33% pour l’appelant, qui vit seul. La pension due par l’appelant doit en conséquence être arrêtée à 3'380 fr. (1'831 fr. 50 + [67% x 2'311 fr. 55]). Dès lors que l’appelant n’a pas exposé en quoi ses prétendues difficultés financières l’empêcheraient de verser une pension d’avance le premier jour de chaque mois, sa conclusion tendant au report du versement au 10 de chaque mois doit être rejetée.</w:t>
      </w:r>
    </w:p>
    <w:p>
      <w:r>
        <w:rPr>
          <w:b/>
        </w:rPr>
        <w:t>E. 4</w:t>
      </w:r>
    </w:p>
    <w:p>
      <w:r>
        <w:t>En définitive, l’appel doit être partiellement admis. L’ordonnance entreprise doit être réformée au chiffre II de son dispositif en ce sens que l’appelant est astreint à contribuer à l’entretien de sa famille par le versement d’une pension mensuelle de 3'380 fr., allocations familiales en sus, payable d’avance le premier jour de chaque mois en mains de l’intimée, dès et y compris le 1 er avril 2015, sous déduction des montants déjà versés à cette dernière depuis la séparation effective et jusqu’à ce jour. Compte tenu de l’admission très partielle de l’appel, les frais judiciaires de deuxième instance, arrêtés à 600 fr. (art. 65 al. 2 TFJC [Tarif des frais judiciaires civils du 28 septembre 2010; RSV 270.11.5]), seront mis à la charge à raison de l’appelant à raison de 550 fr. et de 50 fr. pour l’intimée. L'appelant, qui succombe dans une très large mesure, versera à l'intimée un montant de 450 fr. à titre de dépens réduits de deuxième instance (art. 95 al. 3 CPC ; art. 7 al. 1 et 20 al. 2 TDC [tarif du 23 novembre 2010 des dépens en matière civile; RSV 270.11.6]). Par ces motifs, la Juge déléguée de la Cour d’appel civile du Tribunal cantonal prononce : I. L’appel est partiellement admis. II. L’ordonnance est réformée au chiffre II de son dispositif, comme suit : II. astreint l’intimé F.________ à contribuer à l’entretien de sa famille par le régulier versement d’une pension mensuelle de 3'380 fr. (trois mille trois cent huitante francs), allocations familiales en sus, payable d’avance le premier jour de chaque mois en mains de la requérante M.________, dès et y compris le 1 er avril 2015, sous déduction des montants déjà versés à cette dernière depuis la séparation effective et jusqu’à ce jour. L’ordonnance est confirmée pour le surplus. III. Les frais judiciaires de deuxième instance, arrêtés à 600 fr. (six cents francs), sont mis à la charge de l'appelant F.________ à raison de 550 fr. (cinq cent cinquante francs) et à la charge de l'intimée M.________, à raison de 50 fr. (cinquante francs). IV. L'appelant F.________ doit verser à l’intimée M.________, la somme de 450 fr. (quatre cent cinquante francs) à titre de dépens de deuxième instance. V. L’arrêt est exécutoire. La juge déléguée : Le greffier : Du L'arrêt qui précède, dont la rédaction a été approuvée à huis clos, est notifié à : ‑ M. F.________ ‑ Me Christine Marti (pour Mme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