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83 vom 22. Dezember 2014</w:t>
      </w:r>
    </w:p>
    <w:p>
      <w:r>
        <w:t>VD Tribunal cantonal, 2014-12-22, FR</w:t>
      </w:r>
    </w:p>
    <w:p>
      <w:r>
        <w:rPr>
          <w:b/>
        </w:rPr>
        <w:t xml:space="preserve">Quelle: </w:t>
      </w:r>
      <w:r>
        <w:t>https://mcp.opencaselaw.ch/entscheid/vd_findinfo_HC___2015___83</w:t>
      </w:r>
    </w:p>
    <w:p>
      <w:r>
        <w:t>FR: VD_FINDINFO HC / 2015 / 83 du 22 décembre 2014</w:t>
      </w:r>
    </w:p>
    <w:p>
      <w:r>
        <w:t>IT: VD_FINDINFO HC / 2015 / 83 del 22 dicembre 2014</w:t>
      </w:r>
    </w:p>
    <w:p>
      <w:pPr>
        <w:pStyle w:val="Heading2"/>
      </w:pPr>
      <w:r>
        <w:t>Regeste</w:t>
      </w:r>
    </w:p>
    <w:p>
      <w:r>
        <w:t>EXÉCUTION FORCÉE, DROIT D'ÊTRE ENTENDU | 29 al. 2 Cst., 341 CPC (CH)</w:t>
      </w:r>
    </w:p>
    <w:p>
      <w:pPr>
        <w:pStyle w:val="Heading2"/>
      </w:pPr>
      <w:r>
        <w:t>Erwägungen</w:t>
      </w:r>
    </w:p>
    <w:p>
      <w:r>
        <w:rPr>
          <w:b/>
        </w:rPr>
        <w:t>E. 1</w:t>
      </w:r>
    </w:p>
    <w:p>
      <w:r>
        <w:t>a) La voie du recours de l’art. 319 let. a CPC (Code de procédure civile du 19 décembre 2008 ; RS 272) est ouverte contre les décisions du tribunal de l’exécution, la voie de l’appel étant exclue par l’art. 309 let. a CPC (Jeandin, CPC commenté, Bâle 2011, n. 5 ad art. 309 CPC et n. 22 ad art. 341 CPC). La procédure sommaire étant applicable à la procédure d’exécution (art. 339 al. 2 CPC), le délai de recours est de dix jours (art. 321 al. 2 CPC). Interjeté en temps utile par des personnes qui y ont un intérêt, le recours est recevable. b) Saisie d’un recours contre une décision d’exécution forcée régie en première instance par la procédure sommaire (art. 339 al. 2 CPC), la Chambre des recours civile statue dans une composition à trois juges (JT 2011 II 44).</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2010, n. 12 ad art. 319 CPC). Elle revoit librement les questions de droit soulevées par le recourant et peut substituer ses propres motifs à ceux de l’autorité précédente ou du recourant (HohI, Procédure civile, tome Il,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2009, n. 19 ad art. 97 LTF). b) Les conclusions, les allégations de fait et les preuves nouvelles sont irrecevables en procédure de recours (art. 326 CPC).</w:t>
      </w:r>
    </w:p>
    <w:p>
      <w:r>
        <w:rPr>
          <w:b/>
        </w:rPr>
        <w:t>E. 3</w:t>
      </w:r>
    </w:p>
    <w:p>
      <w:r>
        <w:t>a) Les recourants invoquent d’abord des constatations manifestement erronées des faits. Ils font valoir que c’est à tort que le premier juge a retenu que l’intimée avait satisfait aux obligations découlant de l’accord conclu entre les parties devant le Tribunal de l’arrondissement de La Côte. Celui-ci n’aurait pas expliqué comment il serait parvenu à ce constat, alors que l’examen des photographies produites et une inspection locale démontreraient au contraire que la convention n’a pas été correctement exécutée. b) Contrairement à ce qu’implique la notion de constatation manifestement inexacte des faits, telle qu’elle est définie ci-dessus, les recourants ne tentent pas de démontrer en quoi l’appréciation des preuves effectuée par le premier juge serait arbitraire, mais se bornent à opposer leur propre version à celle du premier juge, ce qui n’est pas suffisant. En particulier, l’autorité de première instance ne s’est pas seulement référée aux photographies figurant au dossier comme le soutiennent les recourants, mais également à l’avis de conformité des travaux donné par la Commune de [...] après une visite des lieux le 26 juillet 2013. Or les recourants ne discutent même pas ce moyen de preuve. On ne discerne donc aucune constatation manifestement inexacte des faits dans la décision attaquée. De toute manière, ainsi qu’on le verra, les recourants font en réalité valoir une mauvaise exécution des travaux et non une inexécution pour laquelle la procédure d’exécution forcée est prévue. Le premier grief soulevé par les recourants est donc infondé.</w:t>
      </w:r>
    </w:p>
    <w:p>
      <w:r>
        <w:rPr>
          <w:b/>
        </w:rPr>
        <w:t>E. 5</w:t>
      </w:r>
    </w:p>
    <w:p>
      <w:r>
        <w:t>a) Les recourants se plaignent ensuite qu’une inspection locale n’a pas été ordonnée, ce qui constituerait une violation de leur droit d’être entendu. Le premier juge aurait ainsi retenu à tort qu’ils n’auraient pas démontré la mauvaise exécution de la convention. Ils font valoir également qu’un délai de duplique aurait dû leur être imparti et une audience de jugement tenue. b) Le droit d’être entendu, prévu à l’art. 29 al. 2 Cst. (Constitution fédérale de la Confédération suisse du 18 avril 1999 ; RS 101),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en général, la possibilité de s’exprimer par écrit suffit (Aubert/Mahon, Petit commentaire de la Constitution fédérale de la Confédération suisse, Zurich/Bâle/Genève 2003, rem. 5 et 6 ad art. 29 Cst.). Le droit d’être entendu est à la fois une institution servant à l’instruction de la cause et une faculté de la partie, en rapport avec sa personne, de participer au prononcé de décisions qui lèsent sa situation juridique (ATF 122 I 53 c. 4a; ATF 114 la 97 c. 2a et les arrêts cités). Selon l’art. 341 al. 2 CPC, qui constitue une application du droit d’être entendu dans le cadre de la procédure d’exécution, le tribunal fixe à la partie succombante un bref délai pour se déterminer. Le tribunal de l’exécution tranche selon la procédure sommaire (art. 339 al. 2 CPC). A ce titre, il fera usage du principe général prévu à l’art. 253 CPC (principe du contradictoire). La détermination de la partie citée se fera oralement ou par écrit (art. 253 CPC ; Jeandin, Code de procédure civile commenté, Bâle 2011, n. 9 ad art. 341 CPC, p. 1331). Selon la jurisprudence du Tribunal fédéral, un délai de dix jours suffit pour garantir le droit de réplique spontanée (TF 9C_193/2013 du 22 juillet 2013 c. 2.1.2). c) A nouveau, les recourants se méprennent sur la motivation de la décision. Le premier juge n’a en effet pas seulement considéré que les requérants avaient échoué à démontrer la mauvaise exécution de la convention, mais a considéré surtout que les réquisitions tendant à l’établir sortaient manifestement du cadre de l’exécution forcée. Cette appréciation est adéquate, les réquisitions de preuve des requérants étant inutiles. Dès lors qu’elles ne tendaient pas à démontrer l’inexécution de la convention, pour laquelle est prévue la procédure des art. 335ss CPC, mais sa mauvaise exécution, ce qui, comme l’a relevé le premier juge, doit le cas échéant faire l’objet d’une action en constatation des défauts, il n’existe pas de violation du droit à la preuve. Quant à la possibilité de dupliquer, les recourants en ont disposé immédiatement après le dépôt des déterminations complémentaires de l’intimée du 23 septembre 2014 et jusqu’au 18 novembre suivant. Ils ont donc bénéficié d’un délai suffisant pour s’exprimer et il faut, dans ces circonstances, retenir qu’ils ont renoncé à le faire. Enfin, la procédure prévue par l’art. 341 CPC est une procédure écrite, ce dont les parties avaient du reste été informées par avis du 12 juin 2014. lIs n’ont d’ailleurs jamais sollicité la tenue d’une audience. Les griefs des recourants sont donc également mal fondés sur ces points.</w:t>
      </w:r>
    </w:p>
    <w:p>
      <w:r>
        <w:rPr>
          <w:b/>
        </w:rPr>
        <w:t>E. 6</w:t>
      </w:r>
    </w:p>
    <w:p>
      <w:r>
        <w:t>En définitive, le recours doit être rejeté et la décision confirmée. Les frais judiciaires de deuxième instance, arrêtés à 600 fr. (art. 69 al. 1 TFJC [tarif des frais judiciaires civils du 28 septembre 2010; RSV 270.11.5]), sont mis à la charge des recourants, solidairement entre eux (art. 106 al. 1 CPC). L’intimée n’ayant pas été invitée à se déterminer, il n’y a pas matière à l’allocation de dépens de deuxième instance. Par ces motifs, la Chambre des recours civile du Tribunal cantonal, statuant à huis clos, en application de l'art. 322 al. 1 CPC, prononce : I. Le recours est rejeté. II. La décision est confirmée. III. Les frais judiciaires de deuxième instance, arrêtés à 600 fr. (six cents francs), sont mis à la charge des recourants P.________, solidairement entre eux. IV. L’arrêt motivé est exécutoire. Le président :               La greffière : Du 23 décembre 2014 Le dispositif de l'arrêt qui précède est communiqué par écrit aux intéressés. La greffière : Du L'arrêt qui précède, dont la rédaction a été approuvée à huis clos, est notifié en expédition complète, par l'envoi de photocopies, à : ‑ Me Roberto Izzo (pour P.________), ‑ Me Tonny Donnet-Monay (pour Communauté des copropriétaires par étages 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