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 vom 14. November 2014</w:t>
      </w:r>
    </w:p>
    <w:p>
      <w:r>
        <w:t>VD Tribunal cantonal, 2014-11-14, FR</w:t>
      </w:r>
    </w:p>
    <w:p>
      <w:r>
        <w:rPr>
          <w:b/>
        </w:rPr>
        <w:t xml:space="preserve">Quelle: </w:t>
      </w:r>
      <w:r>
        <w:t>https://mcp.opencaselaw.ch/entscheid/vd_findinfo_HC___2015___82</w:t>
      </w:r>
    </w:p>
    <w:p>
      <w:r>
        <w:t>FR: VD_FINDINFO HC / 2015 / 82 du 14 novembre 2014</w:t>
      </w:r>
    </w:p>
    <w:p>
      <w:r>
        <w:t>IT: VD_FINDINFO HC / 2015 / 82 del 14 novembre 2014</w:t>
      </w:r>
    </w:p>
    <w:p>
      <w:pPr>
        <w:pStyle w:val="Heading2"/>
      </w:pPr>
      <w:r>
        <w:t>Regeste</w:t>
      </w:r>
    </w:p>
    <w:p>
      <w:r>
        <w:t>CONTRAT DE TRAVAIL, RÉSILIATION ABUSIVE, REJET DE LA DEMANDE | 336 al. 1 let. a CO, 336 CO</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aI. 2 CPC). Ecrit et motivé, il est introduit dans les trente jours à compter de la notification de la décision motivée ou de la notification postérieure de la motivation (art. 311 aI.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 soutient, en substance, que son licenciement serait abusif au motif qu’il a été donné pour une raison inhérente à sa personnalité qui n’avait aucun lien avec son activité professionnelle. Il conteste en particulier sa position de cadre au sein de la Fondation D.________ et le fait que cette dernière, en sa qualité d’institution d’utilité publique, puisse exiger davantage de ses employés afin de protéger son image et sa réputation. Il se plaint également d’avoir été licencié sans avertissement préalable, ni aucune autre mesure visant à rétablir la situation, malgré une décennie de bons et loyaux services et le statut du personnel de la Fondation qui prévoirait une hiérarchie des sanctions débutant par un avertissement. Il explique enfin avoir pris conscience du caractère inadéquat de son comportement, lequel ne constituerait en revanche pas une violation de ses obligations professionnelles et n’aurait eu aucune influence sur son travail.</w:t>
      </w:r>
    </w:p>
    <w:p>
      <w:r>
        <w:rPr>
          <w:b/>
        </w:rPr>
        <w:t>E. 3.1.1</w:t>
      </w:r>
    </w:p>
    <w:p>
      <w:r>
        <w:t>Le contrat de travail conclu pour une durée indéterminée peut être résilié par chacune des parties (art. 335 al. 1 CO).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L’art. 336 CO prévoit notamment que le congé est abusif lorsqu’il est donné pour une raison inhérente à la personnalité de l’autre partie, à moins que cette raison n’ait un lien avec le rapport de travail ou ne porte sur un point essentiel un préjudice grave au travail de l’entreprise (al. 1, let. a). L'énumération prévue par cette disposition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Selon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w:t>
      </w:r>
    </w:p>
    <w:p>
      <w:r>
        <w:rPr>
          <w:b/>
        </w:rPr>
        <w:t>E. 3.1.2</w:t>
      </w:r>
    </w:p>
    <w:p>
      <w:r>
        <w:t>En raison de son obligation de fidélité, le travailleur est tenu de sauvegarder les intérêts légitimes de son employeur ( art. 321a al. 1 CO ). A cet égard, le comportement des cadres doit être apprécié avec une rigueur accrue, compte tenu du crédit particulier et de la responsabilité que leur confère leur fonction dans l'entreprise (arrêt du Tribunal fédéral du 11 octobre 1994, publié in: SJ 1995 p. 809, c. 3; ATF 104 II 28 c. 1). Il a ainsi été jugé qu'un cadre qui manifestait clairement son intention de changer d'emploi aussi vite que possible peu après le début de son contrat de travail conclu pour une durée de deux ans violait son devoir de fidélité (ATF 117 II 560 c. 3a). Il ne faut pas non plus perdre de vue que les rapports de confiance sont à la base du contrat de travail (ATF 124 III 25 c. 3a in fine) et que, si ceux-ci sont ébranlés ou détruits, notamment en raison de la violation du devoir de fidélité du travailleur, ils peuvent même aller jusqu'à légitimer la cessation immédiate des rapports de travail (cf. ATF 116 II 145 c. 6a p. 150). L’employeur a un intérêt tout particulier à pouvoir se fier à la rectitude absolue du travailleur lorsque ce dernier exerce une fonction à responsabilités où il devrait être à même d’agir seul sans le contrôle de son employeur et sans exposer celui-ci à un dommage (ATF 124 III 25c c. 3a ; Wyler, Droit du travail, p. 115).</w:t>
      </w:r>
    </w:p>
    <w:p>
      <w:r>
        <w:rPr>
          <w:b/>
        </w:rPr>
        <w:t>E. 3.1.3</w:t>
      </w:r>
    </w:p>
    <w:p>
      <w:r>
        <w:t>Conformément à l'art. 8 CC (Code civil suisse du 10 décembre 1907; RS 210),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op. cit.,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w:t>
      </w:r>
    </w:p>
    <w:p>
      <w:r>
        <w:rPr>
          <w:b/>
        </w:rPr>
        <w:t>E. 3.2.1</w:t>
      </w:r>
    </w:p>
    <w:p>
      <w:r>
        <w:t>Comme l’autorité de première instance, on doit retenir que l’appelant occupait bel et bien une position de cadre au sein de l’intimée, sans qu’il importe de savoir s’il était cadre au sens de l’art. 9 OLT 1 (ordonnance 1 du 10 mai 2000 relative à la loi sur le travail ; RS 822.111). En effet, il était responsable des achats et de l’approvisionnement, ce qui impliquait des responsabilités au sein de l’institution et des contacts avec des tiers, notamment les fournisseurs. Cette position est également confirmée par les témoignages ainsi que par l’invitation de l’intéressé à la soirée du 22 février 2012, laquelle était précisément organisée pour les collaborateurs occupant un poste à responsabilités. Partant, le comportement de l’appelant doit bien être apprécié avec une rigueur accrue, compte tenu du crédit particulier et de la responsabilité que lui conférait sa fonction au sein de la Fondation.</w:t>
      </w:r>
    </w:p>
    <w:p>
      <w:r>
        <w:rPr>
          <w:b/>
        </w:rPr>
        <w:t>E. 3.2.2</w:t>
      </w:r>
    </w:p>
    <w:p>
      <w:r>
        <w:t>Selon V.________, directeur opérationnel adjoint, lors de la soirée du 22 février 2012, l’appelant a parlé de ses diverses acquisitions dans des conditions particulières, qui, à la lecture du témoignage, pourraient laisser penser à des éventuels actes de recel ; l’appelant a également mentionné des choses non déclarées par rapport à de l’évasion fiscale ou en tout cas des revenus provenant d’une activité annexe qui n’auraient pas été déclarés au fisc ; il a également fait part des fraudes à l’assurance qu’il aurait commises, celles-ci portant sur plusieurs de ses biens. Les comportements dont s’est vanté l’appelant sont de nature à rompre le lien de confiance avec l’employeur. En effet, même si les actes précités n’ont pas été commis dans le cadre de l’activité professionnelle, ils sont propres à mettre en doute la probité de leur auteur et laissent penser que celui-ci se livre à des actes douteux. De plus, il ne s’est pas agit d’un acte isolé, mais de toute une série de comportements critiquables dont s’est vanté l’intéressé. En outre, ce dernier travaille précisément dans un domaine sensible, dès lors qu’il est chargé de l’acquisition de biens pour son employeur et est, par ailleurs, de ce fait en contact avec plusieurs tiers. Dans ces circonstances, force est donc d’admettre que le comportement reproché à l’appelant a bel et bien un lien avec son activité professionnelle et que le congé donné ne peut être qualifié d’abusif.</w:t>
      </w:r>
    </w:p>
    <w:p>
      <w:r>
        <w:rPr>
          <w:b/>
        </w:rPr>
        <w:t>E. 3.2.3</w:t>
      </w:r>
    </w:p>
    <w:p>
      <w:r>
        <w:t>Enfin, et même si cette question paraît sortir du cadre du litige, on ne voit pas comment le lien de confiance aurait pu être rétabli. On ne saurait d’ailleurs à ce sujet émettre la moindre critique quant au comportement de l’intimée, qui a rapidement convoqué l’appelant après la soirée du 22 février 2012. Or, à cette occasion, ce dernier n’a pas expliqué qu’il avait juste voulu se vanter, qu’il s’excusait des propos tenus et que son employeur pouvait se fier à sa parfaite rectitude. Au contraire, il a reconnu avoir tenu les propos qui lui étaient reprochés, avoir choqué ses collègues et avoir altéré la confiance avec son employeur. Il a également expliqué qu’il n’était pas un grand criminel, qu’il avait quand même la conscience tranquille et qu’il n’avait pas fait de fraudes envers l’hôpital. Dans ces conditions, il est évident qu’un simple avertissement ne pouvait suffire à rétablir le lien de confiance. Dans un tel contexte, l’art. 48 du statut de personnel de la Fondation D.________ – qui cite d’ailleurs les sanctions possibles sans prévoir aucune gradation des sanctions comme le prétend l’appelant –  ne lui est d’aucun secours.</w:t>
      </w:r>
    </w:p>
    <w:p>
      <w:r>
        <w:rPr>
          <w:b/>
        </w:rPr>
        <w:t>E. 3.3</w:t>
      </w:r>
    </w:p>
    <w:p>
      <w:r>
        <w:t>Au regard des éléments qui précèdent, on doit admettre que les diverses déclarations de l’appelant ont détruit le lien de confiance avec l’intimée et que celle-ci a par conséquent résilié le contrat de travail, sans qu’un abus ne puisse lui être reproché.</w:t>
      </w:r>
    </w:p>
    <w:p>
      <w:r>
        <w:rPr>
          <w:b/>
        </w:rPr>
        <w:t>E. 4</w:t>
      </w:r>
    </w:p>
    <w:p>
      <w:r>
        <w:t>En conclusion, l’appel doit être rejeté et le jugement confirmé, selon le mode procédural prévu à l’art. 312 al. 1 CPC. La valeur litigieuse ne dépassant pas 30'000 fr., le présent arrêt doit être rendu sans frais judiciaires (art. 114 let. c CPC ; Tappy, CPC commenté, 2011, n. 1 ad art. 114 CPC, p. 457).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