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819 vom 17. September 2015</w:t>
      </w:r>
    </w:p>
    <w:p>
      <w:r>
        <w:t>VD Tribunal cantonal, 2015-09-17, FR</w:t>
      </w:r>
    </w:p>
    <w:p>
      <w:r>
        <w:rPr>
          <w:b/>
        </w:rPr>
        <w:t xml:space="preserve">Quelle: </w:t>
      </w:r>
      <w:r>
        <w:t>https://mcp.opencaselaw.ch/entscheid/vd_findinfo_HC___2015___819</w:t>
      </w:r>
    </w:p>
    <w:p>
      <w:r>
        <w:t>FR: VD_FINDINFO HC / 2015 / 819 du 17 septembre 2015</w:t>
      </w:r>
    </w:p>
    <w:p>
      <w:r>
        <w:t>IT: VD_FINDINFO HC / 2015 / 819 del 17 settembre 2015</w:t>
      </w:r>
    </w:p>
    <w:p>
      <w:pPr>
        <w:pStyle w:val="Heading2"/>
      </w:pPr>
      <w:r>
        <w:t>Regeste</w:t>
      </w:r>
    </w:p>
    <w:p>
      <w:r>
        <w:t>SURVEILLANCE{EN GÉNÉRAL}, VISITE, RELATIONS PERSONNELLES | 273 al. 1 CC, 274 al. 2 CC</w:t>
      </w:r>
    </w:p>
    <w:p>
      <w:pPr>
        <w:pStyle w:val="Heading2"/>
      </w:pPr>
      <w:r>
        <w:t>Erwägungen</w:t>
      </w:r>
    </w:p>
    <w:p>
      <w:r>
        <w:rPr>
          <w:b/>
        </w:rPr>
        <w:t>E. 1</w:t>
      </w:r>
    </w:p>
    <w:p>
      <w:r>
        <w:t>L’appel est recevable contre les ordonnances de mesures provisionnelles (art. 308 al. 1 let. b CPC [Code de procédure civile suisse du 19 décembre 2008 ; RS 272]), dans les causes non patrimoniales ou dont la valeur litigieuse est supérieure à 10'000 fr. (art. 308 al. 2 CPC). Les ordonnances de mesures protectrices de l’union conjugale étant des mesures provisionnelles régies par la procédure sommaire conformément à l’art. 271 let. a CPC, le délai pour l’introduction de l’appel est de dix jours (art. 314 al. 1 CPC). En l’espèce, formé en temps utile par une partie qui y a intérêt (art. 59 al. 2 let. a CPC) et portant sur des conclusions non patrimoniales, à savoir sur les modalités du droit de visite,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 En appel, l’admission de faits et moyens de preuve nouveaux est soumise aux conditions de l’art. 317 al. 1 CPC, même lorsque la maxime inquisitoire est applicable (ATF 138 III 625 c. 2.1).</w:t>
      </w:r>
    </w:p>
    <w:p>
      <w:r>
        <w:rPr>
          <w:b/>
        </w:rPr>
        <w:t>E. 3</w:t>
      </w:r>
    </w:p>
    <w:p>
      <w:r>
        <w:t>CC [Code civil suisse du 10 décembre 1907 ; RS 210]).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 TF 5A_826/2009 du 22 mars 2010 c. 2.1). Pour prendre une telle décision, le juge des mesures protectrices dispose d’un large pouvoir d’appréciation au sens de l’art. 4 CC et fait application du principe de la proportionnalité (Chaix, op. cit., n. 1 et 20 ad art. 176 CC).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 _756/2013 du 9 janvier 2014 c. 5.1.2 ; TF 5A_716/2010 du 23 février 2011 c. 4 et les références citées, FamPra.ch 2011 p. 491 ; ATF 131 III 209 c. 5 ; ATF 123 III 445 c. 3b). Le droit aux relations personnelles vise à sauvegarder le lien existant entre parents et enfants (Hegnauer, Droit suisse de la filiation, 4 e éd., 1998, n. 19.20).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 entiers (Leuba, Commentaire romand, n. 14 s. ad art. 273 CC). Des conditions particulières pour l’exercice du droit de visite peuvent en outre être imposées (Hegnauer, op. cit., n. 19.16). Le droit aux relations personnelles n’est toutefois pas absolu. Selon l’art. 274 al. 2 CC, si les relations personnelles compromettent le développement de l’enfant, si les père et mère qui les entretiennent violent leurs obligations, s’ils ne se sont pas souciés sérieusement du bien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 TF 5P.33/2001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 5.1.2 ; TF 5A_663/2012 du 12 mars 2013 c. 4.1, publié in FamPra.ch 2013 p. 806 ; TF 5A_172/2012 du 16 mai 2012 c. 4.1.1, résumé in RMA 2012 p. 300). Conformément au principe de proportionnalité, il importe en outre que cette menace ne puisse être écartée par d’autres mesures appropriées (TF 5A_448/2008 du 2 octobre 2008 c. 4.1 ; TF 5P.131/2006 du 25 août 2006 c. 3, publié in FamPra.ch 2007 p. 167 ; ATF 131 III 209, JT 2005 I 2002 ;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4.4.1).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c. 4.1, traduit et résumé in Revue du droit de la tutelle [RDT] 2/2009 p. 111). L’établissement d’un droit de visite surveillé nécessite des indices concrets de mise en danger du bien de l’enfant (TF 5P.131/2006 du 25 août 2006 c. 3 ; Hegnauer, op. cit., n. 19.20). Dès lors, il convient de faire preuve d’une certaine retenue lors du choix de cette mesure (TF 5A_699/2007 du 26 février 2008 c. 2.1),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c) C’est d’abord en vain que l’appelante s’étonne que le Point Rencontre d’Ecublens ait été mis en œuvre. Il s’agit là uniquement de la structure administrative de l’organisation qui déterminera le lieu du droit de visite selon ce qui est prévu au chiffre III du dispositif, en fonction du Point Rencontre le plus adapté aux domiciles respectifs des parties. L’appelante s’oppose ensuite à la possibilité pour le père d’exercer son droit de visite de 3 heures en dehors des locaux du Point Rencontre. Elle se fonde sur le fait que l’enfant ne connaît pratiquement pas son père, que ce dernier souffre d’une grave dépression, qu’il a dû être hospitalisé en Allemagne et que des tiers, à savoir des nièces de l’appelante, l’auraient entendu proférer des menaces de mort à l’encontre de sa fille. Le premier juge n’a pas ignoré les craintes exprimées par la mère, qui les avaient toutefois exprimées de manière totalement différente en première instance. Elle avait ainsi expliqué que l’intimé était absent de la vie de sa fille, que lorsqu’il vivait et travaillait en Allemagne, il n’avait pris aucune nouvelle de son enfant et n’avait pas voulu le voir, alors que l’appelante s’était déplacée à une occasion dans ce pays. Elle déclarait ainsi n’avoir aucune confiance dans les capacités parentales de l’intimé, celui-ci ayant toujours fait preuve de négligence lorsqu’il devait s’occuper de sa fille. L’intimé, quant à lui, a contesté se désintéresser de sa fille, a reconnu ne pas l’avoir beaucoup vue en raison de son travail en Allemagne, puis de son départ du domicile conjugal, mais il a aussi précisé vouloir entretenir des relations personnelles avec sa fille, à laquelle il est attaché. Il n’a pas nié avoir fait une dépression et avoir été hospitalisé à ce titre, mais a déclaré se sentir mieux et être sur la voie de la guérison. Il a également indiqué vouloir rester en Suisse. Le premier juge a, sur la base de ces éléments, considéré qu’un droit de visite usuel ne pouvait être exercé et que l’instauration d’un droit de visite au Point Rencontre était la meilleure solution pour rétablir les relations entre le père et sa fille. Cette appréciation est adéquate. Elle l’est d’autant plus que le premier juge a prévu un droit de visite très court, de 3 heures, adapté à l’âge de l’enfant, qui ne permettra à l’intimé de n’envisager qu’une activité ponctuelle (promenade, activité de jeux) indispensable à l’étayage des liens. Les menaces de mort, alléguées en deuxième instance seulement et selon des ouï-dire rapportés de tiers ne sont pas rendues vraisemblables et ne suffisent pas à modifier l’appréciation adéquate du premier juge.</w:t>
      </w:r>
    </w:p>
    <w:p>
      <w:r>
        <w:rPr>
          <w:b/>
        </w:rPr>
        <w:t>E. 4</w:t>
      </w:r>
    </w:p>
    <w:p>
      <w:r>
        <w:t>Il découle de ce qui précède que l’appel, manifestement infondé, doit être rejeté selon le mode procédural de l’art. 312 al. 1 CPC. Il en va de même de la requête d’assistance judiciaire, l’appel étant dépourvu de toute chance de succès au sens de l’art. 117 let. b CPC. L’appelante étant durablement dépourvue de moyens, l’arrêt peut être rendu sans frais en application de l’art. 112 al. 1 CPC. Par ces motifs, le juge délégué de la Cour d’appel civile du Tribunal cantonal, prononce : I. L’appel et la requête d’assistance judiciaire sont rejetés. II. L’ordonnance est confirmée. III. L’arrêt motivé, rendu sans frais, est exécutoire. Le juge délégué : Le greffier : Du L'arrêt qui précède, dont la rédaction a été approuvée à huis clos, est notifié à : ‑ Me Paul-Arthur Treyvaud (pour A.W.________), ‑ Me Hubert Theurillat (pour B.W.________). Le juge délégué de la Cour d’appel civile considère que la présente cause n’est pas une affaire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