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817 vom 28. September 2015</w:t>
      </w:r>
    </w:p>
    <w:p>
      <w:r>
        <w:t>VD Tribunal cantonal, 2015-09-28, FR</w:t>
      </w:r>
    </w:p>
    <w:p>
      <w:r>
        <w:rPr>
          <w:b/>
        </w:rPr>
        <w:t xml:space="preserve">Quelle: </w:t>
      </w:r>
      <w:r>
        <w:t>https://mcp.opencaselaw.ch/entscheid/vd_findinfo_HC___2015___817</w:t>
      </w:r>
    </w:p>
    <w:p>
      <w:r>
        <w:t>FR: VD_FINDINFO HC / 2015 / 817 du 28 septembre 2015</w:t>
      </w:r>
    </w:p>
    <w:p>
      <w:r>
        <w:t>IT: VD_FINDINFO HC / 2015 / 817 del 28 settembre 2015</w:t>
      </w:r>
    </w:p>
    <w:p>
      <w:pPr>
        <w:pStyle w:val="Heading2"/>
      </w:pPr>
      <w:r>
        <w:t>Regeste</w:t>
      </w:r>
    </w:p>
    <w:p>
      <w:r>
        <w:t>REVENU HYPOTHÉTIQUE, MESURE PROVISIONNELLE, ALLOCATION POUR IMPOTENT, RÉSILIATION | 179 CC, 276 CPC (CH)</w:t>
      </w:r>
    </w:p>
    <w:p>
      <w:pPr>
        <w:pStyle w:val="Heading2"/>
      </w:pPr>
      <w:r>
        <w:t>Erwägungen</w:t>
      </w:r>
    </w:p>
    <w:p>
      <w:r>
        <w:rPr>
          <w:b/>
        </w:rPr>
        <w:t>E. 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les pièces produites par l’intimé le 18 septembre 2015 sont recevables, en tant qu’elles sont postérieures à la clôture de l’instruction de première instance et que l’intimé ne s’est pas opposé à la réquisition tendant à la production de ces pièces, formulée par l’appelante.</w:t>
      </w:r>
    </w:p>
    <w:p>
      <w:r>
        <w:rPr>
          <w:b/>
        </w:rPr>
        <w:t>E. 3</w:t>
      </w:r>
    </w:p>
    <w:p>
      <w:r>
        <w:t>a) L’appelante soutient que les conditions d’une modification de la pension mensuelle au sens de l’art. 179 CC (Code civil suisse du 10 décembre 1907, RS 210) ne sont pas remplies en l’espèce, dès lors que, malgré sa retraite anticipée, l’intimé réalise un revenu semblable à celui qu’il percevait lors de la ratification de la convention de mesures protectrices de l’union conjugale du 28 juin 2012. b)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w:t>
      </w:r>
    </w:p>
    <w:p>
      <w:r>
        <w:rPr>
          <w:b/>
        </w:rPr>
        <w:t>E. 7</w:t>
      </w:r>
    </w:p>
    <w:p>
      <w:r>
        <w:t>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les références citées ; TF 5A_811/2012 du 18 février 2013 c. 3.2 et les références citées ; TF 5A_400/2012 du 25 février 2013 c. 4.1 et les arrêts cités).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I’ATF 128 III 65, qui admet que le juge doit prendre en considération, dans le cadre de l’art. 163 CC, les critères applicables à l’entretien après le divorce (art. 125 CC ; ATF 137 I 385 c. 3.1.). Le principe du clean break ne joue par conséquent aucun rôle dans le cadre des mesures provisionnelles. De même, à lui seul, le fait que l’épouse dispose d’un disponible après couverture de son minimum vital n’est pas décisif non plus (TF 5A_228/ du 11juin 2012 c. 4.3).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lI 314 c. 4b/aa). Le juge peut ainsi être amené à adapter la convention conclue pour la vie commune, à la lumière de ces faits nouveaux (TF 5A_236/2011 du 18 octobre 2011 c. 4.2.3; sur le tout TF 5A_301/2011 du 1 er décembre 2011 c. 5.1.; TF 5A_228/2012 du 11 juin 2012 c. 4.3).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 TF 5A_324/2012 du 15 août 2012 c. 5).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ATF 137 III 604 c. 4.1.1). bb) Concernant l’établissement des faits dans le cadre de mesures provisionnelles ou de mesures protectrices de l’union conjugale, le juge statue sur la base de la simple vraisemblance des faits après une administration limitée des preuves et un examen sommaire du droit (ATF 120 II 352 c. 2b ; ATF 127 III 474 c. 2b/bb ; TF 5A_661/2011 du 10 février 2012 c. 2.3), en se fondant sur les moyens de preuve immédiatement disponibles (ATF 131 III 473 c. 2.3 in limine ; TF 5A_497/2011 du 5 décembre 2011 c. 3.2 ; TF 5A_41/2011 du 10 août 2011 c. 4.2 in fine ; TF 5A_4/2011 du 9 août 2011 c. 3.2 ; TF 5A_720/2009 du 18 janvier 2010 c. 5.3). c) En l’espèce, le 18 septembre 2015, l’intimé a produit, en sus de ses fiches de salaire (« décomptes de prestations »), une attestation délivrée le 17 septembre 2015 par son employeur, de laquelle il ressort que les commissions réalisées dans le cadre de son nouveau statut entre le mois d’avril à août 2015 s’élèveraient en moyenne à un montant de 1'401 fr., hors indemnité forfaitaire pour frais professionnels. A l’examen des décomptes de prestations de l’intimé des mois d’avril à août 2015, on constate cependant que le détail des commissions prétendument réalisées durant cette période dans le cadre du nouveau statut de l’intimé ne correspond aucunement au revenu qu’il a effectivement perçu de son employeur et qui s’élève à 3'734 fr. par mois. Ces commissions ne ressortent pas non plus des décomptes produits et ne peuvent pas en être déduites. Conformément au principe selon lequel le juge des mesures provisionnelles doit se fonder sur les moyens de preuve immédiatement disponibles, il y a lieu de s’en tenir, en l’état, aux décomptes de prestations produits desquels il ressort que l’intimé a effectivement réalisé un revenu mensuel moyen de 3'734 fr. entre le 1 er avril et le 31 août 2015. Compte tenu de la rente LPP, par 2’322 fr. 20, qu’il perçoit mensuellement, le revenu qu’il a réalisé entre le 1 er avril et le 31 août 2015 doit être arrêté à 6'056 fr. 20 (3'734 fr. + 2'322 fr. 20). Dès lors que, selon ses propres allégations, l’intimé réalisait déjà un revenu de l’ordre de 6'000 fr. en 2012, soit au moment du prononcé de la pension actuellement due à l’appelante, force est de constater que l’intimé n’est pas parvenu en l’état à rendre vraisemblable, au sens de l’art. 179 CC, l’existence d’une modification essentielle et durable de ses revenus à compter du 1 er avril 2015. Le fait que, selon son employeur, l’intimé ne devrait plus percevoir à l’avenir de commissions relevant de son ancien statut pourrait tendre à rendre vraisemblable qu’il ne serait pas en mesure, à l’avenir, de réaliser un revenu équivalent à celui perçu actuellement. Toutefois en l’état, dès lors que, de l’aveu même de l’intimé, le système de rémunération pratiqué par son employeur est particulièrement complexe et dépend de multiples facteurs, il n’y a pas lieu de se livrer, au stade des mesures provisionnelles, à des projections incertaines et potentiellement hasardeuses quant au montant que l’intimé devrait percevoir à l’avenir. Il sied à cet égard de rappeler qu’il sera toujours loisible à l’intimé de requérir une modification de la pension mensuelle versée à titre provisionnel s’il s’avère dans le futur que ses revenus ont effectivement évolué dans une mesure essentielle, durable et imprévisible à la suite de sa mise à la retraite anticipée, ce qui n’est pas établi en l’état. On relèvera toutefois, dans la mesure où la rémunération d’un conseiller en assurances fluctue irrémédiablement en fonction des commissions perçues lors de chaque contrat d’assurance conclu et des primes versées, qu’il pourrait également se poser la question de l’imprévisibilité d’une éventuelle baisse de ses revenus. Il s’ensuit qu’à défaut d’avoir rendu vraisemblable une modification essentielle et durable des circonstances au moment du dépôt de la requête de l’intimé tendant à la modification de la pension mensuelle due à son épouse à titre provisionnel, l’intimé aurait dû voir sa requête rejetée par le premier juge. L’appel doit donc être admis, sans qu’il n’y ait lieu d’examiner les autres griefs exposés par l’appelante. 4. En définitive, l’appel doit être admis et l’ordonnance de mesures provisionnelles réformée au chiffre I de son dispositif en ce sens que la requête de mesures provisionnelles formée par A.________ le 20 mars 2015 est rejetée. Le dispositif doit en outre être complété par l’adjonction d’un chiffre I bis, par lequel sont rappelés les termes du chiffre III de la convention du 28 juin 2012, alors ratifiée pour valoir prononcé de mesures protectrices de l’union conjugale. L’ordonnance est confirmée pour le surplus. Les frais judiciaires de deuxième instance, arrêtés à 600 fr. (art. 65 al. 2 TFJC [tarif du 28 septembre 2010 des frais judiciaires civils, RSV 270.11.5]) pour l’intimé, qui succombe (art. 106 al. 1 CPC), sont laissés à la charge de l’Etat compte tenu de l’assistance judiciaire accordée aux parties. L’intimé doit verser à l’appelante la somme de 2’000 fr. à titre de dépens de deuxième instance (art. 7 al. 1 TDC [tarif du 23 novembre 2010 des dépens en matière civile ; RSV 270.11.6]). 5. En sa qualité de conseil d’office de l'appelante, Me Richard-Xavier Posse a droit à une rémunération équitable pour ses opérations et débours dans la procédure d’appel (art. 122 al. 1 let. a CPC). Dans sa liste d’opérations du 23 septembre 2015, il a indiqué avoir consacré 8.58 heures au dossier, ses débours s’élevant à 434 fr. 30. Le nombre d’heures allégué peut être admis. Quant aux débours, ils seront retenus à hauteur de 50 fr., étant précisé que les frais de photocopies sont compris dans les frais généraux et doivent être exclus des débours (CREC 14 novembre 2013/377). S’agissant des frais de déplacement, ils seront indemnisés à hauteur d’un forfait de 120 fr., conformément à la jurisprudence (CREC 2 octobre 2012/344 ; JT 2013 III 3). Au tarif horaire de 180 fr. (art. 2 al. 1 let. a RAJ [règlement du 7 décembre 2010 sur l'assistance judiciaire en matière civile ; RSV 211.02.3]), l'indemnité sera ainsi arrêtée à 1'650 fr. (8.5 x 180 fr. + 120 fr.), montant auquel s’ajoutent les débours, par 50 fr., et la TVA sur le tout (8%), par 136 fr., soit au total 1'836 francs. En sa qualité de conseil d’office de l’intimé, Me Michael Stauffacher a droit à une rémunération équitable pour ses opérations et débours dans la procédure d’appel (art. 122 al. 1 let. a CPC). Dans sa liste d’opérations du 25 septembre 2015, il a indiqué avoir consacré 16 heures et 51 minutes au dossier. Les 7 heures passées les 6 et 7 août 2015 à la rédaction du mémoire de réponse sont excessives et seront réduites à 4 heures, compte tenu de l’importance et de la difficulté de la cause. Il y a en outre lieu de considérer que les 30 minutes consacrées le 10 septembre 2015 à des recherches juridiques sur la rente d’impotent sont incluses dans les 4 heures comptabilisées pour la rédaction du mémoire de réponse, de sorte qu’il sera retenu en définitive 13 heures de temps consacré au dossier. Une indemnité de déplacement sera en outre retenue à hauteur de 120 francs. Au tarif horaire de 180 fr. (art. 2 al. 1 let. a RAJ), l'indemnité sera ainsi arrêtée à 2’460 fr. (13 x 180 fr. + 120 fr.), montant auquel s’ajoute la TVA sur le tout (8%), par 196 fr. 80, soit au total 2'656 fr. 80. Les parties, toutes deux au bénéfice de l’assistance judiciaire, sont, dans la mesure de l’art. 123 CPC, tenues au remboursement des indemnités aux conseils d’office mises à la charge de I’Etat, A.________ étant en outre tenu au remboursement des frais judiciaires. Par ces motifs, la Juge déléguée de la Cour d’appel civile du Tribunal cantonal, prononce : I. L’appel est admis. II. L’ordonnance entreprise est réformée au chiffre I de son dispositif et complétée par le chiffre I bis, comme suit : I. rejette la requête de mesures provisionnelles formée par A.________ le 20 mars 2015. I bis. rappelle le chiffre III de la convention du 28 juin 2012, alors ratifiée pour valoir prononcé de mesures protectrices de l’union conjugale, qui prévoit ce qui suit : « Dès le 1 er mai 2012, A.________ contribuera à l’entretien de son épouse par le régulier versement d’une pension mensuelle de 2'000 fr. (deux mille francs) à laquelle s’ajouteront les allocations familiales versées en faveur de H.________. » L’ordonnance est confirmée pour le surplus. III. Les frais judiciaires de deuxième instance, arrêtés à 600 fr. (six cents francs) pour l’intimé, sont laissés à la charge de l’Etat. IV. L’intimé A.________ doit verser à l’appelante C.________, la somme de 2'000 fr. (deux mille francs) à titre de dépens de deuxième instance. V. L’indemnité d’office de Me Posse, conseil de l’appelante, est arrêtée à 1'836 fr. (mille huit cent trente-six francs), TVA et débours compris. VI. L’indemnité d’office de Me Stauffacher, conseil de l’intimé, est arrêtée à 2'656 fr. 80. (deux mille six cent cinquante-six francs et huitante centimes), TVA et débours compris VII. Les bénéficiaires de l’assistance judiciaire sont, dans la mesure de l’art. 123 CPC, tenus au remboursement des indemnités aux conseils d’office mises à la charge de I’Etat, A.________ étant en outre tenu au remboursement des frais judiciaires. VIII. L’arrêt est exécutoire. La juge déléguée : Le greffier : Du L'arrêt qui précède, dont la rédaction a été approuvée à huis clos, est notifié à : ‑ Me Richard-Xavier Posse (pour C.________) ‑ Me Michael Stauffacher (pour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