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816 vom 17. September 2015</w:t>
      </w:r>
    </w:p>
    <w:p>
      <w:r>
        <w:t>VD Tribunal cantonal, 2015-09-17, FR</w:t>
      </w:r>
    </w:p>
    <w:p>
      <w:r>
        <w:rPr>
          <w:b/>
        </w:rPr>
        <w:t xml:space="preserve">Quelle: </w:t>
      </w:r>
      <w:r>
        <w:t>https://mcp.opencaselaw.ch/entscheid/vd_findinfo_HC___2015___816</w:t>
      </w:r>
    </w:p>
    <w:p>
      <w:r>
        <w:t>FR: VD_FINDINFO HC / 2015 / 816 du 17 septembre 2015</w:t>
      </w:r>
    </w:p>
    <w:p>
      <w:r>
        <w:t>IT: VD_FINDINFO HC / 2015 / 816 del 17 settembre 2015</w:t>
      </w:r>
    </w:p>
    <w:p>
      <w:pPr>
        <w:pStyle w:val="Heading2"/>
      </w:pPr>
      <w:r>
        <w:t>Regeste</w:t>
      </w:r>
    </w:p>
    <w:p>
      <w:r>
        <w:t>RETRAIT{VOIE DE DROIT} | 241 al. 3 CPC (CH)</w:t>
      </w:r>
    </w:p>
    <w:p>
      <w:pPr>
        <w:pStyle w:val="Heading2"/>
      </w:pPr>
      <w:r>
        <w:t>Volltext</w:t>
      </w:r>
    </w:p>
    <w:p>
      <w:r>
        <w:t>Vaud Tribunal cantonal Cour d'appel civile 17.09.2015 HC / 2015 / 816</w:t>
      </w:r>
    </w:p>
    <w:p>
      <w:r>
        <w:t>RETRAIT{VOIE DE DROIT} | 241 al. 3 CPC (CH)</w:t>
      </w:r>
    </w:p>
    <w:p>
      <w:r>
        <w:t>TRIBUNAL CANTONAL PO13.052067-151172 483 cour d’appel CIVILE ____________________________ Arrêt du 17 septembre 2015 __________________ Composition :               Mme Bendani , juge délégué Greffière :              Mme Juillerat Riedi ***** Art. 241 al. 3 CPC Statuant à huis clos sur l’appel interjeté par W.________ , à Genève, demanderesse, contre le jugement rendu le 12 janvier 2015 par la Chambre patrimoniale cantonale dans la cause divisant l’appelante d’avec J.________ , à Vevey, défenderesse, la juge déléguée de la Cour d'appel civile du Tribunal cantonal considère : En fait et en droit : 1. Par lettre du 14 septembre 2015, l’appelante a déclaré retirer son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des deux tiers dès lors que l'appel a été retiré avant que le dossier ait circulé auprès des membres de la cour (art. 67 al. 1 TFJC [tarif des frais judiciaires civils du 28 septembre 2010, RSV 270.11.5]), sont arrêtés à 3’513 fr. (art. 62 al. 1 TFJC) et mis à la charge de l’appelante (art. 106 al. 1 CPC). L’intimée a déposé une réponse le 25 septembre 2015, alors qu’elle avait été informée du retrait de l’appel. Les frais relatifs à cette écriture doivent dès lors être supportés par l’intimée qui les a causés inutilement (art. 108 CPC). Partant, il ne sera pas alloué de dépens. Par ces motifs, la juge déléguée de la Cour d’appel civile du Tribunal cantonal, prononce : I. Il est pris acte du retrait de l'appel déposé par W.________. II. La cause est rayée du rôle. III. Les frais judiciaires de deuxième instance, arrêtés à 3’513 fr. (trois mille cinq cent treize francs), sont mis à la charge de l’appelante W.________. IV. L'arrêt est exécutoire. La juge déléguée : La greffière : Du L'arrêt qui précède, dont la rédaction a été approuvée à huis clos, est notifié à : ‑ Me Michel Chevalley (pour W.________), ‑ Me Jean-Luc Tschumy (pour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