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2015 / 802 vom 4. August 2015</w:t>
      </w:r>
    </w:p>
    <w:p>
      <w:r>
        <w:t>VD Tribunal cantonal, 2015-08-04, FR</w:t>
      </w:r>
    </w:p>
    <w:p>
      <w:r>
        <w:rPr>
          <w:b/>
        </w:rPr>
        <w:t xml:space="preserve">Quelle: </w:t>
      </w:r>
      <w:r>
        <w:t>https://mcp.opencaselaw.ch/entscheid/vd_findinfo_HC___2015___802</w:t>
      </w:r>
    </w:p>
    <w:p>
      <w:r>
        <w:t>FR: VD_FINDINFO HC / 2015 / 802 du 4 août 2015</w:t>
      </w:r>
    </w:p>
    <w:p>
      <w:r>
        <w:t>IT: VD_FINDINFO HC / 2015 / 802 del 4 agosto 2015</w:t>
      </w:r>
    </w:p>
    <w:p>
      <w:pPr>
        <w:pStyle w:val="Heading2"/>
      </w:pPr>
      <w:r>
        <w:t>Regeste</w:t>
      </w:r>
    </w:p>
    <w:p>
      <w:r>
        <w:t>CONTRAT D'ÉDITION, PLAN SOCIAL, CONVENTION COLLECTIVE DE TRAVAIL, RÉSILIATION | 356 CO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Compte tenu de ce qui précède, l’appel doit être rejeté selon le mode procédural de l’art. 312 al. 1 CPC. Les frais judiciaires, fixés à 1'310 fr. (art. 62 al. 1 et 2 TFJC [Tarif des frais judiciaires civils du 28 septembre 2010 ; RSV 270.11.5]), sont mis à la charge de l’appelant qui succombe. Il n’est pas alloué de dépens, l’intimée n’ayant pas été invitée à se déterminer sur l’appel.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