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787 vom 2. September 2015</w:t>
      </w:r>
    </w:p>
    <w:p>
      <w:r>
        <w:t>VD Tribunal cantonal, 2015-09-02, FR</w:t>
      </w:r>
    </w:p>
    <w:p>
      <w:r>
        <w:rPr>
          <w:b/>
        </w:rPr>
        <w:t xml:space="preserve">Quelle: </w:t>
      </w:r>
      <w:r>
        <w:t>https://mcp.opencaselaw.ch/entscheid/vd_findinfo_HC___2015___787</w:t>
      </w:r>
    </w:p>
    <w:p>
      <w:r>
        <w:t>FR: VD_FINDINFO HC / 2015 / 787 du 2 septembre 2015</w:t>
      </w:r>
    </w:p>
    <w:p>
      <w:r>
        <w:t>IT: VD_FINDINFO HC / 2015 / 787 del 2 settembre 2015</w:t>
      </w:r>
    </w:p>
    <w:p>
      <w:pPr>
        <w:pStyle w:val="Heading2"/>
      </w:pPr>
      <w:r>
        <w:t>Regeste</w:t>
      </w:r>
    </w:p>
    <w:p>
      <w:r>
        <w:t>DÉCISION D'IRRECEVABILITÉ, DÉLAI DE RECOURS | 321 al. 1 CPC (CH), 321 CPC (CH)</w:t>
      </w:r>
    </w:p>
    <w:p>
      <w:pPr>
        <w:pStyle w:val="Heading2"/>
      </w:pPr>
      <w:r>
        <w:t>Erwägungen</w:t>
      </w:r>
    </w:p>
    <w:p>
      <w:r>
        <w:rPr>
          <w:b/>
        </w:rPr>
        <w:t>E. 2</w:t>
      </w:r>
    </w:p>
    <w:p>
      <w:r>
        <w:t>septembre 2015 __________________ Composition :               M. Winzap , président Mmes Charif Feller et Crittin Dayen, juges Greffière :              Mme Pache ***** Art. 321 al. 1 CPC Statuant à huis clos sur le recours interjeté par D.________ , à Clarens, contre le jugement rendu le 7 mars 2014 par la Juge de paix du district de Lausanne dans la cause divisant la recourante d’avec F.________ , à Jouxtens-Mézery, la Chambre des recours civile du Tribunal cantonal considère : En fait et en droit : 1. Par jugement rendu le 7 mars 2014, la Juge de paix du district de Lausanne a intégralement rejeté les conclusions de la demande déposée le 6 février 2013 par la demanderesse D.________ contre la défenderesse F.________ (I), arrêté les frais judiciaires à 1'350 fr. (II), mis les frais à la charge de la partie demanderesse (III), dit que la partie demanderesse versera en outre à la partie défenderesse la somme de 2'500 fr. à titre de dépens (IV) et rayé la cause du rôle (V). Les motifs du jugement précité ont été envoyés pour notification aux conseils respectifs des parties le 16 janvier 2015. Le jugement est définitif et exécutoire depuis le</w:t>
      </w:r>
    </w:p>
    <w:p>
      <w:r>
        <w:rPr>
          <w:b/>
        </w:rPr>
        <w:t>E. 6</w:t>
      </w:r>
    </w:p>
    <w:p>
      <w:r>
        <w:t>mars 2015. 2. Par courrier adressé le 12 août 2015 à la Justice de paix, D.________ a formulé divers griefs contre le jugement du 7 mars 2014, notamment en relation avec les frais judiciaires. Par correspondance du 19 août 2015, la Juge de paix a invité D.________ à lui indiquer si son courrier devait être compris comme un recours. Le 24 août 2015, D.________ a confirmé que sa lettre du 12 août 2015 devait être comprise comme un recours. F.________ n'a pas été invitée à se déterminer. 3. 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Eu égard à la valeur du présent litige, la voie du recours est ouverte. Le recours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En l'espèce, les motifs de la décision entreprise ont été envoyés pour notification aux parties le 16 janvier 2015. Le recours déposé par D.________ le 12 août 2015, soit près de six mois après cette notification, est manifestement tardif et donc irrecevable. 4. Le présent arrêt peut être rendu sans frais judiciaires de deuxième instance (art.</w:t>
      </w:r>
    </w:p>
    <w:p>
      <w:r>
        <w:rPr>
          <w:b/>
        </w:rPr>
        <w:t>E. 11</w:t>
      </w:r>
    </w:p>
    <w:p>
      <w:r>
        <w:t>TFJC [tarif du 28 septembre 2010 des frais judiciaires civils,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D.________, ‑ Me Nicolas Saviaux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