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774 vom 24. August 2015</w:t>
      </w:r>
    </w:p>
    <w:p>
      <w:r>
        <w:t>VD Tribunal cantonal, 2015-08-24, FR</w:t>
      </w:r>
    </w:p>
    <w:p>
      <w:r>
        <w:rPr>
          <w:b/>
        </w:rPr>
        <w:t xml:space="preserve">Quelle: </w:t>
      </w:r>
      <w:r>
        <w:t>https://mcp.opencaselaw.ch/entscheid/vd_findinfo_HC___2015___774</w:t>
      </w:r>
    </w:p>
    <w:p>
      <w:r>
        <w:t>FR: VD_FINDINFO HC / 2015 / 774 du 24 août 2015</w:t>
      </w:r>
    </w:p>
    <w:p>
      <w:r>
        <w:t>IT: VD_FINDINFO HC / 2015 / 774 del 24 agosto 2015</w:t>
      </w:r>
    </w:p>
    <w:p>
      <w:pPr>
        <w:pStyle w:val="Heading2"/>
      </w:pPr>
      <w:r>
        <w:t>Regeste</w:t>
      </w:r>
    </w:p>
    <w:p>
      <w:r>
        <w:t>HONORAIRES, AVOCAT D'OFFICE | 122 al. 1 let. a CPC (CH), 319 let. b ch. 1 CPC (CH)</w:t>
      </w:r>
    </w:p>
    <w:p>
      <w:pPr>
        <w:pStyle w:val="Heading2"/>
      </w:pPr>
      <w:r>
        <w:t>Erwägungen</w:t>
      </w:r>
    </w:p>
    <w:p>
      <w:r>
        <w:rPr>
          <w:b/>
        </w:rPr>
        <w:t>E. 1.1</w:t>
      </w:r>
    </w:p>
    <w:p>
      <w:r>
        <w:t>L'art. 110 CPC ouvre la voie du recours séparé de l’art. 319 let. b ch. 1 CPC contre les décisions fixant l’indemnité du conseil d’office, cette indemnité étant considérée comme des frais au sens de l’art. 95 CPC (CREC 16 janvier 2015/372; CREC 15 avril 2014/140;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 recours a été interjeté en temps utile par une personne qui y a intérêt.</w:t>
      </w:r>
    </w:p>
    <w:p>
      <w:r>
        <w:rPr>
          <w:b/>
        </w:rPr>
        <w:t>E. 1.2</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 6.2; TF 5A_855/2012 du 13 février 2013 c. 3.3.2; CREC 16 janvier 2015/375). En l'espèce, le recourant n'a pas pris de conclusions chiffrées. Il exprime toutefois clairement sa volonté de remettre en cause l'indemnité allouée à son conseil d'office par le premier juge, qu'il estime excessive. Il critique l'envoi de deux mémos en date des 3 octobre 2014 et 4 juin 2015, l'étude du dossier facturée le 18 mai 2015, ainsi que le montant des débours invoqués mais non détaillés. Cela étant, on peut admettre que le recourant conclut implicitement à la réforme de la décision attaquée, en ce sens que l'indemnité de son conseil d'office est réduite à un montant fixé à dire de justice. Le recours est ainsi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 recourant critique en premier lieu la facturation de deux mémos envoyés les 3 octobre 2014 et 4 juin 2015 à la partie adverse, dont il fait valoir qu'il n'en a pas reçu copie. Dans un deuxième grief, il conteste la facturation du temps consacré à l'étude du dossier le 18 mai 2015, compte tenu du fait qu'une étude de dossier a déjà été facturée le 1 er avril 2015. Enfin, dans un troisième grief, le recourant remet implicitement en cause le montant des débours alloués à l'intimée, faisant valoir qu'il ignore à quoi ils correspondent en l'absence de liste détaillée. L'intimée pour sa part explique que les mémos constituent des avis à la partie adverse des courriers adressés le même jour au tribunal et que son client a reçu les mêmes mémos. Quant à l'étude du dossier contestée, elle précise avoir fait le 1 er avril 2015 un rapide survol des pièces et correspondances, puis avoir repris l'ensemble du dossier le 18 mai 2015 pour une analyse complète.</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5P.462/2002 du 30 janvier 2003 c. 2.3; CREC 25 janvier 2013/29, in JT 2013 II 35ss). Quant aux débours, ils sont rémunérés sur la base de la liste produite à leur appui ou, en l'absence d'une telle liste, par l'allocation d'un montant forfaitaire de 50 fr. pour une affaire transigée avant l'ouverture d'action, de 100 fr. dans les autres cas (art. 3 RAJ).</w:t>
      </w:r>
    </w:p>
    <w:p>
      <w:r>
        <w:rPr>
          <w:b/>
        </w:rPr>
        <w:t>E. 3.2</w:t>
      </w:r>
    </w:p>
    <w:p>
      <w:r>
        <w:t>En l'espèce, l'intimée est intervenue en cours de procédure et a repris le dossier d'un précédent conseil. Sa liste des opérations fait état d'une conférence d'une heure avec le client, de la rédaction de 10 lettres à concurrence de 2 heures 45 minutes, de l'envoi de 7 mémos pour lesquels 35 minutes ont été décomptées et de l'étude du dossier, effectuée à deux reprises et à raison de 4 heures au total. Le temps annoncé ne prête pas en soi le flanc à la critique, à l'exception du temps facturé pour les mémos. D'une part, le recourant n'avance aucun élément qui permet de douter de la réalité des opérations invoquées par l'intimée. D'autre part, celle-ci a repris le dossier d'un conseil tiers et a donc dû consacrer son attention non seulement aux explications et pièces qui lui ont été fournies par le recourant, mais également aux opérations déjà effectuées dans le cadre de la cause en mesures protectrices de l'union conjugale en cours. Dans ce contexte, il n'est pas excessif de facturer au total quatre heures d'étude d'un dossier, dont trois heures après un premier survol de celui-ci durant une heure. L'étude du dossier inclut généralement l'appréciation des éléments de la situation des parties en présence et implique l'examen de pièces. En outre, l'intimée n'a pas facturé en sus des recherches juridiques distinctes, de sorte que les quatre heures d'étude de dossier ont vraisemblablement inclus certaines recherches juridiques usuelles, qui représentent précisément le travail attendu de l'avocat. Quant à la durée consacrée aux correspondances, il paraît également adéquat. Il est en revanche admis que l'envoi de mémos, cartes de compliments ou avis de transmission constitue un pur travail de secrétariat, lequel ne peut dès lors être pris en compte à titre d'activité déployée par l'avocat (CREC 5 janvier 2015/10; CREC 3 septembre 2014/312; Juge délégué CACI 18 août 2014/436 c. 3; CACI 29 juillet 2014/235 c. 6). Ces opérations ne peuvent pas non plus être facturées en sus à titre de débours dès lors qu'elles constituent des frais courants qui font partie des frais généraux de l'avocat (CREC 14 novembre 2013/377). Il convient dès lors de retrancher de la liste des opérations produite par l'intimée le temps invoqué en lien avec ces envois, à raison de 35 minutes. En outre, il faut constater avec le recourant que l'intimée n'a pas produit de liste détaillée des débours, de sorte que c'est le montant de 100 fr. prévu à l'art. 3 al. 3 RAJ qui doit être alloué. En définitive, on doit ainsi admettre que l'intimée a consacré 7 heures et 45 minutes à son mandat d'office. Ses honoraires, calculés au tarif horaire de 180 fr., s'élèvent ainsi à 1'395 fr., auxquels s'ajoutent des débours par 100 fr., ainsi que la TVA à 8% sur ces deux montants (cf. art. 24 LTVA [loi fédérale du 12 juin 2009 régissant la taxe sur la valeur ajoutée ; RS 641.20]). L'indemnité de conseil d'office de l'intimée s'élève donc à 1'614 fr. 60, montant qu'il convient d'arrondir à 1'615 fr., TVA et débours compris, pour la période du 3 octobre 2014 au 4 juin 2015.</w:t>
      </w:r>
    </w:p>
    <w:p>
      <w:r>
        <w:rPr>
          <w:b/>
        </w:rPr>
        <w:t>E. 4.1</w:t>
      </w:r>
    </w:p>
    <w:p>
      <w:r>
        <w:t>En conclusion, le recours doit être partiellement admis et le prononcé attaqué réformé en ce sens que l'indemnité de conseil d'office de V.________ allouée à Me T.________ est fixée à 1'615 francs. La requête d’assistance judiciaire déposée par le recourant est admise dès lors que celui-ci ne dispose pas des ressources nécessaires pour assurer la défense de ses intérêts et que la cause n’était pas d'emblée dénuée de toutes chances de succès (art. 117 CPC). Elle est accordée sous la forme de l’exonération d’avances et de frais judiciaires (art. 118 al. 1 let. a et b CPC). Arrêtés à 100 fr. (art. 69 al. 3 TFJC [tarif des frais judiciaires civils du 28 septembre 2010 ; RSV 270.11.5]), les frais judiciaires de deuxième instance sont répartis à raison de 25 fr. pour l'Etat et de 75 fr. pour le recourant qui n'obtient gain de cause que dans une très faible mesure, étant précisé que l'assistance judiciaire a été accordée à ce dernier et que les frais par 75 fr. seront donc laissés provisoirement à la charge de l’Etat (art. 122 al. 1 let. b CPC). Le bénéficiaire de l’assistance judiciaire est, dans la mesure de l’art. 123 CPC, tenu au remboursement des frais judiciaires provisoirement mis à la charge de l’Etat.</w:t>
      </w:r>
    </w:p>
    <w:p>
      <w:r>
        <w:rPr>
          <w:b/>
        </w:rPr>
        <w:t>E. 4.2</w:t>
      </w:r>
    </w:p>
    <w:p>
      <w:r>
        <w:t>Aux termes de l’art. 334 al. 1 CPC,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En l’espèce, le chiffre IV du dispositif envoyé aux parties comporte une erreur, dans la mesure où il ne précise pas que le montant des frais mis à la charge du recourant, par 75 fr., est laissé provisoirement à la charge de l'Etat dès lors que le recourant est au bénéfice de l'assistance judiciaire. Cette erreur est corrigée d’office dans le dispositif de l’arrêt motivé. Par ces motifs, la Chambre des recours civile du Tribunal cantonal, prononce : I. Le recours est partiellement admis. II. La décision est réformée au chiffre I de son dispositif comme suit : I. Fixe l’indemnité de conseil d’office de V.________ allouée à Me T.________ à 1'615 fr., débours et TVA inclus, pour la période du 3 octobre 2014 au 4 juin 2015. La décision est confirmée pour le surplus. III. La requête d’assistance judiciaire de V.________ est admise. IV. Les frais judiciaires de deuxième instance, arrêtés à 100 fr. (cent francs), sont mis définitivement à la charge de l’Etat par 25 fr. (vingt-cinq francs) et mis à la charge du recourant V.________ par 75 fr. (septante-cinq francs), ce dernier montant étant laissé provisoirement à la charge de l'Etat. V. Le bénéficiaire de l’assistance judiciaire est, dans la mesure de l’art. 123 CPC, tenu au remboursement des frais judiciaires. VI. L’arrêt motivé est exécutoire. Le président :               La greffière : Du 25 août 2015 Le dispositif de l'arrêt qui précède est communiqué par écrit aux intéressés. La greffière : Du L'arrêt qui précède, dont la rédaction a été approuvée à huis clos, est notifié en expédition complète, par l'envoi de photocopies, à : ‑ M. V.________, ‑ Me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