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770 vom 17. August 2015</w:t>
      </w:r>
    </w:p>
    <w:p>
      <w:r>
        <w:t>VD Tribunal cantonal, 2015-08-17, FR</w:t>
      </w:r>
    </w:p>
    <w:p>
      <w:r>
        <w:rPr>
          <w:b/>
        </w:rPr>
        <w:t xml:space="preserve">Quelle: </w:t>
      </w:r>
      <w:r>
        <w:t>https://mcp.opencaselaw.ch/entscheid/vd_findinfo_HC___2015___770</w:t>
      </w:r>
    </w:p>
    <w:p>
      <w:r>
        <w:t>FR: VD_FINDINFO HC / 2015 / 770 du 17 août 2015</w:t>
      </w:r>
    </w:p>
    <w:p>
      <w:r>
        <w:t>IT: VD_FINDINFO HC / 2015 / 770 del 17 agosto 2015</w:t>
      </w:r>
    </w:p>
    <w:p>
      <w:pPr>
        <w:pStyle w:val="Heading2"/>
      </w:pPr>
      <w:r>
        <w:t>Regeste</w:t>
      </w:r>
    </w:p>
    <w:p>
      <w:r>
        <w:t>DÉCISION D'IRRECEVABILITÉ, CONCLUSIONS, MOTIVATION DE LA DÉCISION, SUSPENSION DE LA PROCÉDURE | 126 al. 2 CPC (CH), 126 CPC (CH), 321 al. 1 CPC (CH)</w:t>
      </w:r>
    </w:p>
    <w:p>
      <w:pPr>
        <w:pStyle w:val="Heading2"/>
      </w:pPr>
      <w:r>
        <w:t>Erwägungen</w:t>
      </w:r>
    </w:p>
    <w:p>
      <w:r>
        <w:rPr>
          <w:b/>
        </w:rPr>
        <w:t>E. 4</w:t>
      </w:r>
    </w:p>
    <w:p>
      <w:r>
        <w:t>Par acte du 6 août 2015, N.________ AG a interjeté recours à l’encontre de la décision précitée, concluant à ce qu’il plaise au Juge délégué de la Chambre patrimoniale cantonale (recte : la Chambre des recours du Tribunal cantonal), statuant avec suite de frais et dépens, par voie de procédure sommaire : I. Admettre le recours. II. Inviter le Juge délégué de la Chambre patrimoniale à interpeller la demanderesse pour qu’elle indique, à bref délai, si elle maintient son action en libération de dette. III. Si ladite action est maintenue, inviter le Juge délégué de la Chambre patrimoniale à subordonner d’ores et déjà toute opération du procès à la fourniture d’une avance de frais calculée en fonction de la valeur litigieuse effective de Fr. 4'216'844 fr. 69, nonobstant suspension de l’instruction du procès sur le fond. IV. Inviter le Juge délégué de la Chambre patrimoniale à statuer d’ores et déjà sur la caution de judicatum solvi , selon requête incidente du 13 mai 2015, nonobstant suspension de l’instruction du procès sur le fond.</w:t>
      </w:r>
    </w:p>
    <w:p>
      <w:r>
        <w:rPr>
          <w:b/>
        </w:rPr>
        <w:t>E. 5</w:t>
      </w:r>
    </w:p>
    <w:p>
      <w:r>
        <w:t>a) Le tribunal conduit le procès et prend les décisions d’instruction nécessaires à une préparation et à une conduite rapide de la procédure (art. 124 al. 1 CPC [Code de procédure civile du 19 décembre 2010 ; RS 272]). Il peut ordonner la suspension de la procédure si des motifs d’opportunité le commandent (art. 126 al. 1 CPC). Si cette disposition évoque uniquement les cas dans lequel le tribunal peut décider de suspendre la procédure, il faut réserver les hypothèses dans lesquelles la loi prévoit d’office et de plein droit la suspension (Haldy, Commentaire CPC, 2011, ad art. 126 n. 2). Il en va ainsi de l’art. 297a LP qui dispose que sauf en cas d'urgence, le sursis concordataire a pour effet de suspendre les procès civils et les procédures administratives portant sur les créances concordataires. L’art. 126 al. 2 CPC prévoit que l’ordonnance de suspension de la procédure peut faire l’objet d’un recours au sens de l’art. 319 let. b ch. 1 CPC. Les ordonnances de suspension devant être considérées comme des décisions d’instruction (Jeandin, op. cit., n. 18 ad art. 319 CPC), le recours doit être déposé dans le délai de dix jours de l’art. 321 al. 2 CPC (CREC 14 juin 2013/205 c. 2.2). b) En l’espèce, le recours a été formé en temps utile par une partie qui y a un intérêt digne de protection (art. 59 al. 2 let. a CPC).</w:t>
      </w:r>
    </w:p>
    <w:p>
      <w:r>
        <w:rPr>
          <w:b/>
        </w:rPr>
        <w:t>E. 6</w:t>
      </w:r>
    </w:p>
    <w:p>
      <w:r>
        <w:t>a) Aux termes de l'art. 321 al. 1 CPC, le recours doit être écrit et motivé. Pour satisfaire à l'exigence de motivation, il ne suffit pas de renvoyer aux moyens soulevés en première instance, ni de se livrer à des critiques générales de la décision attaquée.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concernant l’appel, mais applicable par analogie au recours ; Jeandin, CPC commenté, 2011, n. 4 ad art. 321 CPC et n. 3 ad art. 311 CPC). Le recours doit en outre comporter, sous peine d'irrecevabilité, des conclusions sur le fond qui permettent à l’instance de recours – dans l’hypothèse où elle aurait décidé d’admettre le recours – d’annuler la décision ou de statuer à nouveau (TF 4A_659/2011 du 7 décembre 2011 c. 4 in RSPC 2012 p. 128 et SJ 2012 I 31; Jeandin, CPC commenté, Bâle 2011, n. 2 ad art. 321 CPC et n. 4 ad art. 311 CPC ; CREC 22 juillet 2015/268).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la recourante ne conteste aucunement la décision de suspension, que ce soit dans ses moyens ou dans ses conclusions, de sorte que le recours, dont les conclusions sortent du cadre de la décision attaquée, ne porte pas sur le même objet que la décision. En outre, elles sont incompatibles avec la décision de suspension de la procédure en ce sens qu’il n’est tout simplement pas possible d’y donner une suite favorable sans annuler ou réformer au préalable la décision de suspendre la procédure, ce à quoi la recourante n’a pas conclu. Celle-ci n’a d’ailleurs pas non plus exposé de griefs en ce sens. Pour ces motifs, le recours doit être déclaré irrecevable.</w:t>
      </w:r>
    </w:p>
    <w:p>
      <w:r>
        <w:rPr>
          <w:b/>
        </w:rPr>
        <w:t>E. 7</w:t>
      </w:r>
    </w:p>
    <w:p>
      <w:r>
        <w:t>Le présent arrêt peut être rendu sans frais judiciaires de deuxième instance (art. 11 TFJC [tarif du 28 septembre 2010 des frais judiciaires civils ; RSV 270.11.5]). L’intimée n’ayant pas été invitée à se déterminer, il n’y a pas lieu d’allouer des dépens.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Olivier Carré (pour N.________ AG), ‑ Me François Roux (pour J.________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