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766 vom 12. August 2015</w:t>
      </w:r>
    </w:p>
    <w:p>
      <w:r>
        <w:t>VD Tribunal cantonal, 2015-08-12, FR</w:t>
      </w:r>
    </w:p>
    <w:p>
      <w:r>
        <w:rPr>
          <w:b/>
        </w:rPr>
        <w:t xml:space="preserve">Quelle: </w:t>
      </w:r>
      <w:r>
        <w:t>https://mcp.opencaselaw.ch/entscheid/vd_findinfo_HC___2015___766</w:t>
      </w:r>
    </w:p>
    <w:p>
      <w:r>
        <w:t>FR: VD_FINDINFO HC / 2015 / 766 du 12 août 2015</w:t>
      </w:r>
    </w:p>
    <w:p>
      <w:r>
        <w:t>IT: VD_FINDINFO HC / 2015 / 766 del 12 agosto 2015</w:t>
      </w:r>
    </w:p>
    <w:p>
      <w:pPr>
        <w:pStyle w:val="Heading2"/>
      </w:pPr>
      <w:r>
        <w:t>Regeste</w:t>
      </w:r>
    </w:p>
    <w:p>
      <w:r>
        <w:t>ACTION EN MODIFICATION, OBLIGATION D'ENTRETIEN, REVENU HYPOTHÉTIQUE | 278 al. 2 CC, 285 al. 1 CC, 317 al. 1 CPC (CH)</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notamment les décisions sur mesures provisionnelles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 SJ 2013 I 311). Ces exigences s’appliquent également aux litiges soumis à la maxime inquisitoire (ATF 138 III 625 c. 2.2).</w:t>
      </w:r>
    </w:p>
    <w:p>
      <w:r>
        <w:rPr>
          <w:b/>
        </w:rPr>
        <w:t>E. 3</w:t>
      </w:r>
    </w:p>
    <w:p>
      <w:r>
        <w:t>a) Lorsque, en application de l'art. 134 CC, le juge modifie la garde de l'enfant, il incombe de fixer, selon le droit de la filiation, la contribution d'entretien pouvant être due, désormais, par le parent qui n'a plus la garde de l'enfant.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En outre, selon l'art. 278 al. 2 CC, chaque époux est tenu d'assister son conjoint de façon appropriée dans l'accomplissement de son obligation d'entretien envers les enfants nés avant le mariage. Pour fixer la contribution d’entretien, le juge doit en principe tenir compte du revenu effectif des parties. Cependant, tant le débiteur d’entretien que le créancier peuvent se voir imputer un revenu hypothétique. Il s’agit ainsi d’inciter la personne à réaliser le revenu qu’elle est en mesure de se procurer et dont on peut raisonnablement exiger d’elle qu’elle l’obtienne afin de remplir ses obligations (ATF 128 III 4 c. 4a; TF 5A_99/2011 du 26 septembre 2011 c. 7.4.1, publié in FamPra.ch 2012 228; TF 5A_290/2010 du 28 octobre 2010 c.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ATF 126 III 10 c. 2b). b) Le premier juge a retenu que, si A.B.________ était actuellement sans activité lucrative et ne disposait pas de revenu propre, elle était néanmoins en mesure de réaliser un revenu hypothétique d'un montant de 5'000 fr. par mois à 100 %. Il a ajouté que ses difficultés linguistiques ne constituaient pas un obstacle à ce qu’elle trouve, dans la région zurichoise, un emploi qui corresponde à ses compétences. Un bref examen de la rubrique emploi dans la presse zurichoise laissait apparaître un certain nombre d’offres d’emploi d’assistante de direction en anglais et/ou français, pour lesquelles seules des connaissances orales d’allemand étaient requises. Il a retenu, conformément à la jurisprudence précitée, qu'il n'était au demeurant pas déraisonnable d’exiger d’une personne qui vivait depuis plusieurs années dans une région, et qui entendait apparemment y demeurer, qu’elle perfectionne ses connaissances linguistiques (TF 5C_222/2000 du 25 janvier 2001 précité c. 2c). Il a en outre considéré que, même si l’on ne saurait en principe exiger d’une femme élevant un enfant en bas âge qu’elle reprenne une activité à 100 % (ATF 115 lI 6 c. 3c et les réf. cit.), les enfants issus du précédent mariage de l’intimée n’avaient en l’occurrence pas à supporter le choix qu’elle avait fait de suivre son nouveau mari en Suisse alémanique et de rester au foyer pour s’occuper de l’enfant issu de cette seconde union (dans ce sens, voir arrêt du TF 5A_736/2008 du 30 mars 2009 c. 4.1 in fine). Enfin, il découlait du devoir général d’assistance, consacré à l’art. 159 al. 3 CC et concrétisé à l’art. 278 al. 2 CC, que le nouvel époux de A.B.________ avait le devoir de soutenir sa femme dans l’exécution de son obligation d’entretien envers ses enfants nés avant le mariage et qu'avec un revenu annuel de l’ordre de 272'062 fr., selon déclaration fiscale 2013, il en avait largement les moyens.</w:t>
      </w:r>
    </w:p>
    <w:p>
      <w:r>
        <w:rPr>
          <w:b/>
        </w:rPr>
        <w:t>E. 4</w:t>
      </w:r>
    </w:p>
    <w:p>
      <w:r>
        <w:t>a) L’appelante ne conteste plus qu’elle pourrait trouver un travail, mais soutient qu’elle ne pourrait pas être obligée de travailler à un taux d’activité supérieur à 50%, dès lors qu’elle doit s’occuper de son fils [...], âgé de 4 ans; selon elle, elle ne pourrait ainsi pas réaliser un revenu supérieur à 2'500 fr. — lequel correspond au revenu de 5'000 fr. retenu par le premier juge pour une activité à plein temps — ni donc être tenue de verser des contributions d’entretien supérieures à 350 fr. pour chaque enfant, qui correspondraient à 28 % d’un salaire de 2'500 francs. Elle allègue que B.B.________, son second époux, réaliserait à l’heure actuelle un salaire annuel de l’ordre de 180'000 fr., car il aurait changé d’employeur et n’aurait ainsi plus le revenu qui était le sien au moment de l’audience du 16 janvier 2015. 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(CACI 11 juin 2014/315; CACI 28 mars 2012/156 c. 5; CACI 19 janvier 2012/38 c. 3b/aa; Bastons Bulletti, L’entretien après divorce : méthodes de calcul, montant, durée et limites, SJ 2007 II 77, spéc. pp. 107-108; Revue Suisse de Jurisprudence [RSJ] 1984 p. 392, n. 4 et note p. 393; Meier/Stettler, Droit de la filiation, 5e éd., 2014, n. 1076, pp. 712-713; TF 5A_178/2008 du 23 avril 2008 c. 3.3 et réf. cit.,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(CACI 11 juin 2014/315; CACI 28 mars 2012/156 c. 5; CACI 19 janvier 2012/38 c. 3b/aa; Bastons Bulletti, L’entretien après divorce : méthodes de calcul, montant, durée et limites, SJ 2007 II 77, spéc. pp. 107-108; RSJ 1984 p. 392, n. 4 et note p. 393; Meier/Stettler, op. cit., n. 1076, pp. 712-713; TF 5A_178/2008 du 23 avril 2008 c. 3.3 et réf. citées,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Ces critères s’appliquent à tous les enfants mineurs, indépendamment de l’état civil de leurs parents, à savoir que ceux-ci soient mariés ou non, séparés ou divorcés (CACI 19 janvier 2012/38 c. 3b/aa; CREC II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CREC II 11 juillet 2005/436). c) Force est tout d'abord de constater que l’appelante ne démontre pas que les conditions d’application de l’art. 317 al. 1 CPC pour l'introduction à ce stade de faits nouveaux seraient réunies. Il ne saurait dès lors être tenu compte de l’allégation nouvelle relative aux revenus de son mari, au demeurant non prouvée. Il faut s’en tenir à la constatation que B.B.________ réalise comme employé de banque un revenu annuel net de l’ordre de 272'062 fr., soit un revenu très confortable. L'on constate ensuite qu'il n’y a pas lieu d’appliquer la méthode des pourcentages dans le cas présent. En effet, il est constant — l’appelante l’expose elle-même — que la répartition des rôles dans le mariage actuel de l’appelante est traditionnelle, en ce sens que le mari, qui gagne très confortablement sa vie, exerce l’activité lucrative permettant de subvenir aux besoins matériels du ménage, tandis que l’appelante tient le ménage et assure l’éducation et les soins des enfants. Or, en vertu du devoir d’assistance découlant de l’art. 278 al. 2 CC et de la jurisprudence y relative, telle que rappelée par le premier juge, on peut attendre du nouveau mari de l’appelante qu’il facilite le paiement des contributions en faveur des enfants du premier lit en acceptant que son épouse travaille à 50 % et réalise ainsi un revenu — dont elle n’a pas besoin pour assurer son propre entretien vu la répartition des tâches dans le mariage — qui lui permette de payer des contributions d’entretien conformes aux besoins des enfants. A cet égard, le montant de 700 fr. par enfant, soit 1'400 fr. pour les deux enfants, qui laisse à l’appelante un solde de plus de 40% sur le revenu hypothétique réalisable, apparaît adéquat au stade des mesures provisionnelles. L’ordonnance attaquée échappe ainsi à la critique dans son résultat.</w:t>
      </w:r>
    </w:p>
    <w:p>
      <w:r>
        <w:rPr>
          <w:b/>
        </w:rPr>
        <w:t>E. 5</w:t>
      </w:r>
    </w:p>
    <w:p>
      <w:r>
        <w:t>Il résulte de ce qui précède que l’appel doit être rejeté selon le mode procédural de l’art. 312 al. 1 CPC et l’ordonnance attaquée confirmée. L’appelante, qui succombe, supportera les frais judiciaires de deuxième instance (art. 106 al. 1 CPC), lesquels doivent être fixés à 600 fr. (art. 65 al. 2 TFJC [tarif du 28 septembre 2010 des frais judiciaires civils, RSV 270.11.5]). Il n’y a pas lieu d’allouer de dépens, dès lors que l’intimé n’a pas été invité à se déterminer sur l’appel et n’a donc pas encouru de frais pour la procédure de deuxième instance (art. 95 al. 3 CPC). Par ces motifs, le Juge délégué de la Cour d’appel civile du Tribunal cantonal, statuant en application de l'art. 312 al. 1 CPC, prononce : I. L’appel est rejeté. II. L’ordonnance est confirmée. III. Les frais judiciaires de deuxième instance, arrêtés à 600 fr. (six cent francs), sont mis à la charge de l’appelante A.B.________. IV. Il n’est pas alloué de dépens de deuxième instance. V. L’arrêt motivé est exécutoire. Le juge délégué : La greffière : Du 13 août 2015 Le dispositif de l'arrêt qui précède est communiqué par écrit aux intéressés. La greffière : Du L'arrêt qui précède, dont la rédaction a été approuvée à huis clos, est notifié en expédition complète, par l'envoi de photocopies, à : ‑ Me Christine Marti (pour l'appelante), ‑ Me Irène Wettstein Martin (pour l'intimé).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civil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