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763 vom 3. Juli 2015</w:t>
      </w:r>
    </w:p>
    <w:p>
      <w:r>
        <w:t>VD Tribunal cantonal, 2015-07-03, FR</w:t>
      </w:r>
    </w:p>
    <w:p>
      <w:r>
        <w:rPr>
          <w:b/>
        </w:rPr>
        <w:t xml:space="preserve">Quelle: </w:t>
      </w:r>
      <w:r>
        <w:t>https://mcp.opencaselaw.ch/entscheid/vd_findinfo_HC___2015___763</w:t>
      </w:r>
    </w:p>
    <w:p>
      <w:r>
        <w:t>FR: VD_FINDINFO HC / 2015 / 763 du 3 juillet 2015</w:t>
      </w:r>
    </w:p>
    <w:p>
      <w:r>
        <w:t>IT: VD_FINDINFO HC / 2015 / 763 del 3 luglio 2015</w:t>
      </w:r>
    </w:p>
    <w:p>
      <w:pPr>
        <w:pStyle w:val="Heading2"/>
      </w:pPr>
      <w:r>
        <w:t>Regeste</w:t>
      </w:r>
    </w:p>
    <w:p>
      <w:r>
        <w:t>AVOCAT D'OFFICE, DÉCISION SUR FRAIS, DROIT D'ÊTRE ENTENDU, MOTIVATION DE LA DÉCISION | 29 al. 2 Cst., 110 CPC (CH)</w:t>
      </w:r>
    </w:p>
    <w:p>
      <w:pPr>
        <w:pStyle w:val="Heading2"/>
      </w:pPr>
      <w:r>
        <w:t>Erwägungen</w:t>
      </w:r>
    </w:p>
    <w:p>
      <w:r>
        <w:rPr>
          <w:b/>
        </w:rPr>
        <w:t>E. 1</w:t>
      </w:r>
    </w:p>
    <w:p>
      <w:r>
        <w:t>a) La rémunération du conseil juridique commis d'office est réglée par l'art. 122 CPC (Code de procédure civile suisse du 19 décembre 2008, RS 272),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Cette disposition ouvre la voie du recours séparé de l’art. 319 let. b ch. 1 CPC contre les décisions fixant l’indemnité du conseil d’office, cette indemnité étant considérée comme des frais au sens de l’art. 95 CPC (CREC 13 février 2013/52; Tappy, op. cit., n. 21 ad art. 122 CPC). Dans la mesure où sa propre situation est affectée, le conseil juridique dispose à titre personnel d’un droit de recours au sujet de la rémunération équitable accordée (ATF 131 V 153 c. 1; Tappy, op. cit., n. 22 ad art. 122 CPC). b) En cas de recours sur le seul sort des frais réglé dans une décision finale, incidente ou provisionnelle, le délai de recours est en principe de 30 jours (art. 321 al. 1 CPC). Formé en temps utile par une partie qui y a un intérêt digne de protection (art. 59 al.</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2014, n. 27 ss ad art. 97 LTF).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 b) Les conclusions, les allégations de faits et les preuves nouvelles sont irrecevables (art. 326 al. 1 CPC). En l'espèce, la pièce n o 3, en tant qu’elle ne figure pas au dossier de première instance, est ainsi irrecevable.</w:t>
      </w:r>
    </w:p>
    <w:p>
      <w:r>
        <w:rPr>
          <w:b/>
        </w:rPr>
        <w:t>E. 3</w:t>
      </w:r>
    </w:p>
    <w:p>
      <w:r>
        <w:t>La recourante se plaint d’une violation de son droit d’être entendue, faisant valoir à cet égard que le premier juge n’aurait pas cité les postes qui justifiaient une réévaluation, ni exposé la motivation de la réduction, de sorte qu’il lui était impossible d’attaquer la décision en connaissance de cause. Elle apporte ensuite des précisions au sujet de la cause et sa note d’honoraires.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pp. 683-684). Pour fixer la quotité de l’indemnité du conseil d’office, l’autorité cantonale doit s’inspirer des critères applicables à la modération des honoraires d’avocat (Donzallaz, Loi sur le Tribunal fédéral, Commentaire, Berne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 3b/ba). b) Le droit d’être entendu est une garantie constitutionnelle (art. 29 al. 2 Cst.)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c. 3.1; ATF 126 I 97 c. 2b).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 2.2; TF 5A_39/2014 du 12 mai 2014 c. 4.2). Ce vice découlant de la violation du droit d’être entendu ne peut être réparé devant la Chambre des recours civile, dès lors qu’elle ne dispose pas du même pouvoir de cognition que le premier juge et qu’elle ne peut revoir les faits que sous l’angle de l’arbitraire (cf. art. 320 let. b CPC; CREC 10 décembre 2014/435 c. 3b). c) En l’espèce, le premier juge n’a pas désigné les opérations concernées par sa réévaluation et n’a pas exposé, même brièvement, les motifs pour lesquels il a tenu certaines prétentions pour injustifiées. Il y a ainsi lieu d’admettre que le premier juge, par son manque de motivation, a empêché sa destinataire d’attaquer le prononcé à bon escient. Cette violation du droit d’être entendue de la recourante ne peut être réparée devant l’autorité de recours, en raison de son pouvoir de cognition restreint. Au surplus, la recourante doit pouvoir bénéficier de la double instance et les premiers juges sont les mieux placés pour apprécier le temps nécessaire à l’accomplissement du mandat d’office.</w:t>
      </w:r>
    </w:p>
    <w:p>
      <w:r>
        <w:rPr>
          <w:b/>
        </w:rPr>
        <w:t>E. 4</w:t>
      </w:r>
    </w:p>
    <w:p>
      <w:r>
        <w:t>Au vu de ce qui précède, le recours doit être admis, le prononcé annulé au chiffre I de son dispositif et la cause renvoyée au Président du Tribunal civil de l’arrondissement de Lausanne pour nouvelle décision dans le sens des considérants. Dans la mesure où les frais judiciaires de deuxième instance, arrêtés à 100 fr. (art. 69 al. 3 TFJC [tarif des frais judiciaires civils du 28 septembre 2010 ; RSV 270.11.5]), ne sont pas imputables à la recourante, ils seront mis à la charge de l’Etat (art. 107 al. 2 CPC). Il n’y a pas matière à l’allocation de dépens, puisque l’on ne saurait ici considérer l’Etat comme une partie adverse (Tappy, op. cit., n. 34 ad art. 107 CPC, p. 426). Par ces motifs, la Chambre des recours civile du Tribunal cantonal, prononce : I.              Le recours est admis. II.              Le prononcé est annulé au chiffre I de son dispositif et la cause est renvoyée au Président du Tribunal civil de l’arrondissement de Lausanne pour statuer à nouveau dans le sens des considérants. III.              Les frais judiciaires de deuxième instance, arrêtés à 100 fr. (cent francs), sont laissés à la charge de l’Etat. IV.              L’arrêt motivé est exécutoire. Le président :               La greffière : Du</w:t>
      </w:r>
    </w:p>
    <w:p>
      <w:r>
        <w:rPr>
          <w:b/>
        </w:rPr>
        <w:t>E. 6</w:t>
      </w:r>
    </w:p>
    <w:p>
      <w:r>
        <w:t>juillet 2015 Le dispositif de l'arrêt qui précède est communiqué par écrit aux intéressés. La greffière : Du L'arrêt qui précède, dont la rédaction a été approuvée à huis clos, est notifié en expédition complète, par l'envoi de photocopies, à : ‑ Me T.________, ‑ Mme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