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754 vom 29. September 2015</w:t>
      </w:r>
    </w:p>
    <w:p>
      <w:r>
        <w:t>VD Tribunal cantonal, 2015-09-29, FR</w:t>
      </w:r>
    </w:p>
    <w:p>
      <w:r>
        <w:rPr>
          <w:b/>
        </w:rPr>
        <w:t xml:space="preserve">Quelle: </w:t>
      </w:r>
      <w:r>
        <w:t>https://mcp.opencaselaw.ch/entscheid/vd_findinfo_HC___2015___754</w:t>
      </w:r>
    </w:p>
    <w:p>
      <w:r>
        <w:t>FR: VD_FINDINFO HC / 2015 / 754 du 29 septembre 2015</w:t>
      </w:r>
    </w:p>
    <w:p>
      <w:r>
        <w:t>IT: VD_FINDINFO HC / 2015 / 754 del 29 settembre 2015</w:t>
      </w:r>
    </w:p>
    <w:p>
      <w:pPr>
        <w:pStyle w:val="Heading2"/>
      </w:pPr>
      <w:r>
        <w:t>Regeste</w:t>
      </w:r>
    </w:p>
    <w:p>
      <w:r>
        <w:t>LOI FÉDÉRALE SUR L'ÉGALITÉ ENTRE FEMMES ET HOMMES, SALAIRE, FORMATION{EN GÉNÉRAL}, ÉGALITÉ ENTRE HOMME ET FEMME, ÉGALITÉ DE TRAITEMENT | 2 al. 2 CC, 3 LEg, 6 LEg</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En l’espèce, interjeté en temps utile, par une partie qui y a un intérêt (art. 59 al. 2 let. a CPC), dans une cause patrimoniale dont la valeur litigieuse est supérieure à 10’000 fr.,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w:t>
      </w:r>
    </w:p>
    <w:p>
      <w:r>
        <w:rPr>
          <w:b/>
        </w:rPr>
        <w:t>E. 3</w:t>
      </w:r>
    </w:p>
    <w:p>
      <w:r>
        <w:t>L'appelante fait valoir, en substance, que l'intimée n'aurait pas apporté la preuve du caractère objectif des motifs justifiant la différence de salaire avec son collègue V.________, ni la justification de l'ampleur de celle-ci. En premier lieu, la connaissance subjective par l’employeur des qualifications de l'appelante et de V.________ ne constituerait pas un élément objectif. Ensuite, l'argument de l’absence d'expérience utile au poste s’agissant de l’appelante – contrairement à V.________ – relèverait d’une constatation inexacte des faits, au vu des différentes activités (bénévoles) déployées par l'appelante pour l'association D.________ et le Centre de Rencontre et d’Animation de [...]. Compte tenu par ailleurs de ses connaissances linguistiques et informatiques, l'appelante soutient que ses qualifications et expériences professionnelles seraient à tout le moins équivalentes à celles de V.________. En outre, en valorisant des compétences sportives aux dépens de compétences artistiques ou de réseau, l’employeur aurait appliqué un critère neutre, mais se révélant indirectement discriminatoire. Enfin, même si les motifs invoqués devaient être considérés comme objectifs, ceux-ci ne justifieraient pas l'ampleur de la différence de salaire constatée.</w:t>
      </w:r>
    </w:p>
    <w:p>
      <w:r>
        <w:rPr>
          <w:b/>
        </w:rPr>
        <w:t>E. 3.1</w:t>
      </w:r>
    </w:p>
    <w:p>
      <w:r>
        <w:t>Selon l'art. 3 LEg (loi fédérale sur l'égalité entre femmes et hommes du 24 mars 1995, RS 151.1), il est interdit de discriminer les travailleurs à raison du sexe, directement ou indirectement, notamment en se fondant sur leur état civil, leur situation familiale ou, s'agissant de femmes, sur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La question de savoir si l’employeur a ou non l’intention de discriminer n’est pas déterminante pour apprécier le caractère illicite d’une mesure. La violation de l’art. 3 LEg ne présuppose aucune faute (Aubry Girardin, in Commentaire de la loi fédérale sur l'égalité, Genève 2011, n. 5 ad art. 3 LEg; Freivogel, in Commentaire de la loi sur l’égalité, Lausanne 2000, n. 4 ad art. 3 LEg). Une discrimination est directe si, sans être justifiée objectivement, elle se fonde soit directement (ou explicitement) sur le critère du sexe soit sur un critère ne pouvant s’appliquer qu’à l’un des deux sexes (TF 4A_395/2010 du 25 octobre 2010 c. 5.1). Est constitutive d’une discrimination indirecte à raison du sexe une différence de traitement qui se fonde sur un critère, neutre en apparence, mais qui a ou peut avoir pour résultat de désavantager une plus grande proportion de personnes d’un sexe par rapport à l’autre, sans être justifiée objectivement (Aubry Girardin, op. cit., n. 8 ad art. 3 LEg). Un critère d’apparence neutre, mais qui a pour effet de désavantager un sexe par rapport à l’autre, perd son caractère discriminatoire s’il est objectivement justifié. Tel est le cas lorsque la partie employeuse démontre que ce critère poursuit un but légitime, sans rapport avec la répartition des rôles entre les sexes. Le critère devra, par exemple, répondre à un véritable besoin de l’entreprise ou être indispensable à l’exécution du travail (ibidem, n. 11 ad art. 3 LEg). D’après l'art. 6 LEg, l'existence d'une discrimination est présumée pour autant que la personne qui s'en prévaut la rende vraisemblable; cette disposition s'applique à l'attribution des tâches, à l'aménagement des conditions de travail, à la rémunération, à la formation et au perfectionnement professionnels, ainsi qu'à la promotion et à la résiliation des rapports de travail. Elle a pour effet d’alléger le fardeau de la preuve d'une discrimination à raison du sexe, en ce sens qu'il suffit à la partie demanderesse de rendre vraisemblable l'existence d'une telle discrimination.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 à 25 % inférieur à celui d'un collègue masculin qui accomplissait le même travail (TF 4A_261/2011 du 24 août 2011 c. 3.2; ATF 130 III 145 c. 4.2; TF 4A_449/2008 du 25 février 2009). Dans ce dernier arrêt, la rémunération de l’employée demanderesse avait été, en moyenne, de plus de 16 % inférieure à celle de son collègue masculin. L'application de l'art. 6 LEg implique que le juge doit d'abord se déterminer sur la vraisemblance alléguée, ce qui doit figurer dans sa décision, et ensuite seulement examiner si l’employeur a rapporté la preuve de l’absence de discrimination (TF 4C.463/1999 du 4 juillet 2000 c. 2a; Wyler, in Commentaire de la loi fédérale sur l'égalité, Genève 2011, n. 12 ad art. 6 LEg et note infrapaginale n° 48). La comparaison avec la rémunération d'un seul collègue de l'autre sexe exerçant la même activité suffit à établir la vraisemblance d'une discrimination à l'encontre d'une travailleuse (TF 4A_261/2011 du 24 août 2011 c. 3.2; Wyler, op. cit., n. 14 ad art. 6 LEg; Aubry Girardin, op. cit., n. 13 in fine ad art. 3 LEg). Si la discrimination de nature sexiste a été rendue vraisemblable, le fardeau de la preuve est renversé. Il appartient donc à l'employeur d'apporter la preuve stricte qu'il n'existe pas de différence de traitement ou, si celle-ci existe, qu'elle repose sur des facteurs objectifs (ATF 131 II 393 c. 7.1; ATF 130 III 145 c. 5.2). 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(TF 4A_261/2011 du 24 août 2011 c. 3.2). Des disparités salariales peuvent également se justifier pour des motifs qui ne se rapportent pas immédiatement à l'activité en cause, mais qui découlent de préoccupations sociales, comme les charges familiales ou l'âge (ATF 130 III 145 c. 5.2; ATF 127 III 207 c. 3c). La loi ne contient pas de liste de motifs objectifs, de sorte qu’il n’existe pas d’énumération exhaustive. La liste des motifs est donc ouverte et soumise à l’appréciation des tribunaux en ce qui concerne la pertinence de chacun d’entre eux eu égard aux principes de la finalité et de la proportionnalité (Wyler, op. cit., n. 29 ad art. 6 LEg). Le critère de la formation est de nature à influencer la qualité du travail et peut, à ce titre, justifier une discrimination rendue vraisemblable. Il peut ainsi être tenu compte, notamment, des certificats fédéraux de capacité (CFC), de toute les formations certifiantes, des diplômes délivrés par les Hautes écoles spécialisées (HES) et par les Universités, indépendamment du fait que le diplôme soit délivré en Suisse ou à l’étranger (Wyler, ibidem, n. 30 let. a ad art.</w:t>
      </w:r>
    </w:p>
    <w:p>
      <w:r>
        <w:rPr>
          <w:b/>
        </w:rPr>
        <w:t>E. 3.2</w:t>
      </w:r>
    </w:p>
    <w:p>
      <w:r>
        <w:t>Le Règlement pour le personnel de l’administration communale [de la Ville de Lausanne] du</w:t>
      </w:r>
    </w:p>
    <w:p>
      <w:r>
        <w:rPr>
          <w:b/>
        </w:rPr>
        <w:t>E. 3.3.1</w:t>
      </w:r>
    </w:p>
    <w:p>
      <w:r>
        <w:t>En l’espèce, bien que ce point n’ait pas été abordé par les premiers juges, la vraisemblance d’une inégalité salariale entre l’appelante et l’un de ses collègues masculins, V.________, pourrait être admise au regard de la jurisprudence précitée, singulièrement l’ATF 125 III 368 c. 5, dès lors que la différence moyenne entre leur salaire respectif était d’environ 35% (calcul annualisé de 2006 à 2012). Reste à examiner si l’employeur a prouvé que cette différence était objectivement justifiée, soit qu’elle était fondée sur des motifs objectifs déterminants (c. 3.3.2 à 3.3.4 infra).</w:t>
      </w:r>
    </w:p>
    <w:p>
      <w:r>
        <w:rPr>
          <w:b/>
        </w:rPr>
        <w:t>E. 3.3.2</w:t>
      </w:r>
    </w:p>
    <w:p>
      <w:r>
        <w:t>Ainsi que cela ressort de l’ensemble des notes, contrats et propositions de salaire figurant au dossier, l’intimée s’est basée sur le système de classes précité (art. 34 RPAC) pour fixer la rémunération de l’appelante et des autres travailleurs sociaux hors murs (TSHM). Pour déterminer la fourchette initiale, un système spécifique, inspiré de la classification relative aux éducateurs spécialisés et formalisé dans la note du 21 avril 2006 (cf. ch. 4 supra), a été appliqué par l’intimée, répertoriant les cinq fonctions suivantes : 1. TSMH A : classes 13-10 (porteur d’un diplôme d’éducateur spécialisé ou formation jugée équivalente + certification classe A délivrée par la commission ad hoc) 2. TSMH B : classes 15-12 (porteur d’un diplôme d’éducateur spécialisé ou formation jugée équivalente) 3. TSMH C : classes 17-24 (titulaire d’un diplôme ou d’un certificat de pédagogie délivré par une école non spécialisée, éducateur au bénéfice d’une formation spécialisée, mais non encore diplômé, éducateur de la petite enfance ayant une formation de 3 ans ou une certaine pratique professionnelle) 4. TSHM D : classe 22-16 (titulaire d’un certificat de fin d’apprentissage ou au bénéfice d’une formation jugée équivalente, éducateur de la petite enfance sans pratique professionnelle) 5. TSHM E : classe 24-17 (collaborateur pédagogique sans formation ou expérience. L’un des critères principaux pour fixer la rémunération était donc de savoir si le ou la candidat(e) disposait déjà d’une formation dans le domaine de l’éducation, et, le cas échéant, quel était le niveau de celle-ci (TSHM A à D). Il s’agissait là d’un motif objectif et non discriminatoire, dont la pertinence au regard de la prestation de travail n’est pas contestable, ni contestée. Ainsi, l’appelante et V.________ se sont vus engagés dans des « fourchettes » différentes dès lors que V.________ disposait d’un diplôme d’éducateur (en l’occurrence dans le domaine du sport), alors que l’appelante n’en avait pas. C’est le lieu de préciser que l’option secondaire « socio-pédagogique » suivie au gymnase par Z.________, même si elle avait été communiquée à l’intimée durant l’engagement – ce qui n’a pas été le cas – n’aurait pas justifié, à elle seule, un traitement différent. Le fait que l’instruction ait ensuite montré que, selon les critères suisses, le diplôme français de V.________ n’était en réalité pas équivalent à la deuxième (ni même à la troisième ou à la quatrième) catégorie précitée, n’est d’aucun secours à l’appelante sous l’angle de la LEg : elle ne saurait en effet prétendre, sauf à détourner cette loi de son véritable objectif (cf. art. 2 al. 2 CC), à un salaire correspondant à une fourchette applicable à un porteur de diplôme/certificat dans le domaine de l’éducation (TSHM A/B/C/D), alors que lors de son engagement en 2006, elle n’avait aucun diplôme de ce type et ne pouvait, par conséquent, prétendre à une autre fourchette que celle réservée aux « TSHM E » (24-17). En d’autres termes, la surestimation (selon les critères suisses) de la formation de V.________ lors de la fixation de sa rémunération initiale ne signifie pas que l’intimée aurait discriminé l’appelante en ne surévaluant pas également son traitement, dès lors qu’une surévaluation systématique de ses collègues masculins n’est pas démontrée.</w:t>
      </w:r>
    </w:p>
    <w:p>
      <w:r>
        <w:rPr>
          <w:b/>
        </w:rPr>
        <w:t>E. 3.3.3</w:t>
      </w:r>
    </w:p>
    <w:p>
      <w:r>
        <w:t>Comme l’ont constaté à juste titre les premiers juges, les qualifications de l’appelante se rapprochaient de celles de F.________, qui n’avait pas non plus de diplôme d’éducateur : tous deux ont été engagés à des salaires quasiment équivalents (56'764 fr. pour F.________ et 56'542 fr. pour l’appelante) à deux classes d’intervalle (classes 24 et 22). La légère différence entre le salaire de l’appelante et celui de F.________, non remise en cause en tant que telle, était justifiée par les années d’expérience de ce dernier dans l’enseignement et l’animation socioculturelle (à temps partiel), ainsi que son diplôme de culture générale avec option (principale) socio-pédagogique, telle qu’elle figure sur le titre obtenu et remis à l’employeur (cf. ch. 8 supra). V.________ et K.________ (tous deux titulaires d’un diplôme d’éducateur) ont quant à eux bénéficié de salaires quasiment identiques à l’engagement, pour une classe de différence (classes 13 et 14). Au vu de ces éléments, il apparaît que la fixation des salaires des différents travailleurs sociaux, y compris celui de l’appelante, suivait un modèle cohérent, sans que les différences constatées ne relèvent d’une discrimination fondée sur le sexe. Par ailleurs et comme l’ont relevé les premiers juges, au fur et à mesure de sa progression dans sa formation HES, l’appelante est passée en classe 22, puis en classe 17, de sorte que la classification a bien été respectée.</w:t>
      </w:r>
    </w:p>
    <w:p>
      <w:r>
        <w:rPr>
          <w:b/>
        </w:rPr>
        <w:t>E. 3.3.4</w:t>
      </w:r>
    </w:p>
    <w:p>
      <w:r>
        <w:t>Par surabondance, force est de constater que les autres critères invoqués en première instance par l’intimée pour justifier le salaire initial de l’appelante (par rapport à ses collègues masculins) ne sont pas discriminatoires. Il en va ainsi de l’expérience professionnelle : s’il est vrai que l’appelante a participé bénévolement au projet D.________ au Sénégal (de juin à décembre 2004), il ressort toutefois du dossier que son travail se concentrait sur le volet artistique du groupe de musique (réalisation du clip, apport de la « structure de l’image »), sans qu’il soit question de tâches éducatives ou de prise en charge effective des jeunes par l’appelante. En ce sens, cette expérience, bien qu’ayant joué un rôle décisif dans l’engagement de Z.________ (cf. témoignage de X.________), car elle relevait d’une approche (artistique) qui intéressait l’intimée, ne pouvait être prise en compte au même titre qu’une expérience professionnelle de plusieurs années en tant qu’éducateur sportif, enseignant ou animateur socioculturel. Pour le surplus, l’appelante n’a fourni aucune indication ni certificat de travail quant à la nature des activités qu’elles auraient déployées pour l’association D.________ Suisse après la création de celle-ci en 2005. Il en va de même s’agissant du Centre de Rencontre et d’Animation de [...], qui ne figure pas dans son curriculum vitae et au sujet duquel l’appelante s’est contentée d’indiquer, dans sa lettre de motivation du 25 janvier 2006, qu’elle avait « pris part » à ses activités et avait pu observer, grâce au dialogue avec les adolescents et les animateurs, que les jeunes vivaient souvent avec une vision négative d’eux-mêmes et de leur avenir. Dans ce contexte, l’appréciation selon laquelle l’appelante n’avait pas de formation ni d’expérience utile au poste, outre ces quelques mois de bénévolat centrés sur une activité artistique, peut être confirmée. Par ailleurs, comme l’a relevé l’autorité de première instance, l’employeur a tenu compte, dans une certaine mesure, des trois ou quatre années d’expérience professionnelle que l’appelante faisait valoir, dans la fixation du salaire à l’intérieur de la classe 24 elle-même (56'542 fr.), sous forme des six annuités qui lui ont été allouées. S’agissant de l’expérience professionnelle de V.________, il ressort de son curriculum vitae qu’après avoir suivi une première formation d’ébéniste et marqueteur (1994-1995), ce dernier s’est entièrement consacré – dès 1998 – au domaine de l’animation et de l’encadrement, en effectuant plusieurs formations et en participant, en qualité d’animateur et d’éducateur, à de multiples structures, projets et événements impliquant une prise en charge effective d’enfants, d’adolescents ou d’adultes. Qu’elle soit comptabilisée en mois ou en années (ch. 32 appel), il apparaît ainsi que l’expérience utile au poste acquise par V.________ entre 1998 et 2005 ne saurait être qualifiée d’équivalente à celle de l’appelante. V.________ disposait en outre de connaissances spéciales jugées essentielles par l’intimée : d’une part, il connaissait déjà les jeunes « ciblés » par le programme, avait des contacts avec eux et savait où ils se réunissaient. Comme l’a relevé X.________, contrairement à ses collègues, V.________ avait donc une longueur d’avance et était considéré, à ce titre, comme le chef de file du projet. Ses aptitudes allaient donc au-delà de la simple connaissance de la C.________ dont pouvait se prévaloir l’appelante. Compte tenu de la description du poste et de l’importance accordée à la capacité d’« aller à la rencontre des jeunes en difficulté là où ils se trouvent » (25%, cf. ch. 2 supra), ce point était central et plus important que la connaissance du réseau lausannois (que l’appelante a pu développer au cours de son engagement) et dont V.________ pouvait également se prévaloir. D’autre part, les connaissances étendues de V.________ dans le domaine du sport – considéré comme le « noyau dur de liaison par rapport à l'errance » – avaient pu être observées lors de son engagement en tant qu'auxiliaire. Sa formation d’éducateur sportif était essentielle pour l’intimée, pour qui le projet s’articulait autour du sport (voir supra témoignage de X.________ p. 23). La demande d’engagement soumise le 29 septembre 2005 par l’intimée à la Municipalité confirme par ailleurs que 50% des postes de travailleurs sociaux hors murs devaient être attribués à des éducateurs « en sports urbains » : dans ce contexte – et même si la valorisation de compétences sportives devait être considérée comme un critère neutre mais indirectement discriminatoire (ch. 90 ss appel), ce qui n’est du reste pas établi –, force est de constater qu’en l’espèce ce critère poursuivait un but légitime et répondait à un véritable besoin de l’employeur. En comparaison, les compétences artistiques développées par l’appelante, bien que potentiellement intéressantes pour créer des liens avec les jeunes, n’avaient pas encore été éprouvées par l’intimée. En outre, contrairement à V.________ dans le domaine du sport, l’appelante n’avait pas suivi de formation professionnelle dans le domaine artistique ou culturel. Elle ne pouvait pas non plus se prévaloir d’une véritable expérience professionnelle d’animatrice socioculturelle. Enfin, le poste nécessitant uniquement la maîtrise d’outils informatiques usuels (afin de mener à bien les tâches administratives, évaluées à 10%, cf. ch. 2 supra), ainsi que la maîtrise de la langue française, on ne discerne pas en quoi les compétences plus étendues de l’appelante dans ces domaines auraient dû être davantage prises en considération lors de la fixation de son salaire. Compte tenu de l’ensemble des critères appliqués (formation, expérience professionnelle, connaissances spéciales), la pondération effectuée par l’intimée ne paraît ainsi ni discriminatoire, ni disproportionnée. L’appréciation des premiers juges, selon laquelle la différence entre le salaire de l’appelante et celui de ses collègues masculins était justifiée par des critères objectifs déterminants, peut ainsi être confirmée. 4. En conclusion, l’appel sera rejeté selon le mode procédural de l’art. 312 al. 1 CPC et le jugement confirmé. La valeur litigieuse ne dépassant pas 30'000 fr., le présent arrêt doit être rendu sans frais judiciaires (art. 114 let. c CPC; Tappy, CPC commenté, 2011, n. 1 ad art. 114 CPC). Il n’y a pas lieu d’allouer de dépens de deuxième instance, l’intimée n’ayant pas été invité à se déterminer.</w:t>
      </w:r>
    </w:p>
    <w:p>
      <w:r>
        <w:rPr>
          <w:b/>
        </w:rPr>
        <w:t>E. 6</w:t>
      </w:r>
    </w:p>
    <w:p>
      <w:r>
        <w:t>LEg). S’agissant de l’expérience professionnelle, l’employeur doit prouver qu’elle joue un rôle pour l’activité en cause, en démontrant la valeur qu’il lui attribue (ibidem, n. 30 let. d ad art. 6 LEg). Le plurilinguisme constitue un critère objectif dans la mesure où la maîtrise de certaines langues est utile à l’exécution du travail et a une influence sur la valeur de celui-ci (ibidem, n. 30 let. k ad art. 6 LEg). Bien qu’il ne s’agisse pas d’un critère se rapportant directement à la valeur du travail, la marge de négociation individuelle fait partie des critères susceptibles de justifier des différences de traitement. Ainsi, la position de force d'un travailleur dans la négociation salariale et la situation conjoncturelle peuvent conduire à une différence de rémunération pour un même travail (ATF 130 III 145 c. 5.2, cité par Wyler, op. cit., n. 31 let. d ad art. 6 LEg). En règle générale, des motifs objectifs ne peuvent légitimer une différence de salaire que s'ils jouent un rôle important en regard de la prestation de travail et s'ils influent par conséquent sur les salaires versés par le même employeur (ATF 125 III 368 c. 5).</w:t>
      </w:r>
    </w:p>
    <w:p>
      <w:r>
        <w:rPr>
          <w:b/>
        </w:rPr>
        <w:t>E. 11</w:t>
      </w:r>
    </w:p>
    <w:p>
      <w:r>
        <w:t>octobre 1977 (état au 1 er septembre 2010; ci-après également : RPAC), est applicable aux fonctionnaires de la commune de Lausanne (art. 1). L’art. 80 de ce règlement prévoit que la Municipalité peut engager des employés par contrat écrit de droit privé lorsqu'ils ne remplissent pas les conditions pour être nommés en qualité de fonctionnaire (al. 1). Ces employés sont soumis aux dispositions du Code des obligations sur le contrat de travail ainsi qu'aux dispositions de droit public sur le travail (al. 2). L’art. 80 al. 3 prévoit en outre qu’une partie du règlement leur est applicable par analogie, à savoir les chapitres II (à l'exception de l'art. 5, alinéa 1, et de l'art. 8), III, V, VI, VII, VIII (à l'exception des art. 71 à 72), IX (art. 74 uniquement), X (art. 80) et XI. L’art. 34 RPAC – qui fait partie du chapitre V précité – prévoit que le traitement de base est fixé par rapport à l’échelle suivante : Classe Minimum Maximum 27 52’026 60’859 26 52'653 61’607 25 53'292 62’356 24 53'922 63’162 23 54'612 64’039 22 55'366 64’991 21 56'179 66’025 20 57'050 67’238 19 57'935 68’738 18 58'556 71’317 17 59'234 74’092</w:t>
      </w:r>
    </w:p>
    <w:p>
      <w:r>
        <w:rPr>
          <w:b/>
        </w:rPr>
        <w:t>E. 16</w:t>
      </w:r>
    </w:p>
    <w:p>
      <w:r>
        <w:t>59'954 77’094 15 60'740 80’333 14 61'745 83’842 13 63'537 87’633 12 66'026 91’728 11 68'898 96’157 10 72'006 100’955 (…) D’après l’art. 36 RPAC, la Municipalité fixe le traitement initial dans les limites des classes correspondant à la fonction en tenant compte de l’activité antérieure, des connaissances spéciales et de l’âge du candidat (al. 1). Le maximum d’une classe sera atteint par des augmentations ordinaires représentant chacune le onzième de la différence entre le minimum et le maximum de chaque classe. Ces augmentations seront accordées au début de chaque année (al. 2). En cas de promotion, le nouveau traitement sera au moins égal à l’ancien, majoré d’une et demi augmentation ordinaire de la nouvelle classe, jusqu’à concurrence du maximum de celle-ci (al. 3). En vertu de l’art. 38 RPAC, dans des cas tout à fait exceptionnels et afin de s’assurer la collaboration de personnes particulièrement qualifiées, la Municipalité peut allouer des suppléments dépassant de 20 % au plus les maxima fixés à l’art. 34. Ces suppléments sont versés à bien plaire, sans garantie de durée.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