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745 vom 18. August 2015</w:t>
      </w:r>
    </w:p>
    <w:p>
      <w:r>
        <w:t>VD Tribunal cantonal, 2015-08-18, FR</w:t>
      </w:r>
    </w:p>
    <w:p>
      <w:r>
        <w:rPr>
          <w:b/>
        </w:rPr>
        <w:t xml:space="preserve">Quelle: </w:t>
      </w:r>
      <w:r>
        <w:t>https://mcp.opencaselaw.ch/entscheid/vd_findinfo_HC___2015___745</w:t>
      </w:r>
    </w:p>
    <w:p>
      <w:r>
        <w:t>FR: VD_FINDINFO HC / 2015 / 745 du 18 août 2015</w:t>
      </w:r>
    </w:p>
    <w:p>
      <w:r>
        <w:t>IT: VD_FINDINFO HC / 2015 / 745 del 18 agosto 2015</w:t>
      </w:r>
    </w:p>
    <w:p>
      <w:pPr>
        <w:pStyle w:val="Heading2"/>
      </w:pPr>
      <w:r>
        <w:t>Regeste</w:t>
      </w:r>
    </w:p>
    <w:p>
      <w:r>
        <w:t>FRAIS JUDICIAIRES | 109 al. 1 CPC (CH), 110 CPC (CH)</w:t>
      </w:r>
    </w:p>
    <w:p>
      <w:pPr>
        <w:pStyle w:val="Heading2"/>
      </w:pPr>
      <w:r>
        <w:t>Erwägungen</w:t>
      </w:r>
    </w:p>
    <w:p>
      <w:r>
        <w:rPr>
          <w:b/>
        </w:rPr>
        <w:t>E. 1</w:t>
      </w:r>
    </w:p>
    <w:p>
      <w:r>
        <w:t>L’art. 110 CPC (Code de procédure civile du 19 décembre 2008 ; RS 272) ouvre la voie du recours des art. 319 ss CPC contre les décisions sur les frais. Interjeté en temps utile par une partie qui y a un intérêt (art. 59 al. 2 let. a CPC), le recours est recevable.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ZPO, 2 e éd., Bâle 2013, n. 26 ad art. 319 CPC).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2 e éd., Berne 2014, n. 27 ad art. 97 LTF). b) Les conclusions, les allégations de faits et les preuves nouvelles sont irrecevables (art. 326 al. 1 CPC). En l’espèce, les pièces produites par la recourante sont irrecevables, dans la mesure où elles ne figurent pas au dossier de première instance.</w:t>
      </w:r>
    </w:p>
    <w:p>
      <w:r>
        <w:rPr>
          <w:b/>
        </w:rPr>
        <w:t>E. 3</w:t>
      </w:r>
    </w:p>
    <w:p>
      <w:r>
        <w:t>La recourante fait valoir qu’elle est dans l’incapacité de payer le montant de 750 fr. mis à sa charge à titre de frais judiciaires et sollicite pour ce motif que l’entier des frais soit mis à la charge de la partie adverse. En l’espèce, l’ex-époux de la recourante a introduit une requête en conciliation dans le cadre d’une action en modification de jugement de divorce. A l’audience de conciliation, les parties ont transigé et prévu expressément au chiffre II de la convention que les frais judiciaires seraient partagés par moitié et qu’elles renonçaient à l’allocation de dépens. Le procès-verbal d’audience contient encore la précision que c’est après mûre réflexion et de leur plein gré que les parties ont signé cette convention. La recourante ne pouvait donc pas ignorer que des frais seraient mis à sa charge puisqu’il avait été expressément prévu qu’ils seraient répartis par moitié. Par ailleurs, il n’apparaît pas que la recourante ait sollicité le bénéfice de l’assistance judiciaire pour la procédure de modification de jugement de divorce. Partant, c’est à juste titre que la Présidente a réparti les frais judiciaires par moitié, conformément à ce que prévoit le chiffre II de la convention signée par les parties à l’audience du 4 juin 2015.</w:t>
      </w:r>
    </w:p>
    <w:p>
      <w:r>
        <w:rPr>
          <w:b/>
        </w:rPr>
        <w:t>E. 4</w:t>
      </w:r>
    </w:p>
    <w:p>
      <w:r>
        <w:t>Le recours doit ainsi être rejeté selon le mode procédural de l’art. 322 al. 1 CPC et la décision entreprise confirmée. Les frais judiciaires de deuxième instance, arrêtés à 100 fr. (art. 69 al. 1 TFJC [tarif des frais judiciaires civils du 28 septembre 2010 ; RS 270.11.5]), sont mis à la charge de la recourante A.E.________, qui succombe (art. 106 al. 1 CPC). L’intimé n’ayant pas été invité à sa déterminer sur l’appel, il n’y a pas lieu de lui allouer des dépens. Par ces motifs, la Chambre des recours civile du Tribunal cantonal, en application de l'art. 322 al. 1 CPC, prononce : I. Le recours est rejeté. II. La décision est confirmée. III. Les frais judiciaires de deuxième instance, arrêtés à 100 fr. (cent francs), sont mis à la charge de la recourante A.E.________. IV. L’arrêt motivé est exécutoire. Le président :               La greffière : Du 19 août 2015 Le dispositif de l'arrêt qui précède est communiqué par écrit aux intéressés. La greffière : Du L'arrêt qui précède, dont la rédaction a été approuvée à huis clos, est notifié en expédition complète, par l'envoi de photocopies, à : ‑ Mme A.E.________, ‑ Me Michel Chevalley (pour B.E.________).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