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741 vom 6. August 2015</w:t>
      </w:r>
    </w:p>
    <w:p>
      <w:r>
        <w:t>VD Tribunal cantonal, 2015-08-06, FR</w:t>
      </w:r>
    </w:p>
    <w:p>
      <w:r>
        <w:rPr>
          <w:b/>
        </w:rPr>
        <w:t xml:space="preserve">Quelle: </w:t>
      </w:r>
      <w:r>
        <w:t>https://mcp.opencaselaw.ch/entscheid/vd_findinfo_HC___2015___741</w:t>
      </w:r>
    </w:p>
    <w:p>
      <w:r>
        <w:t>FR: VD_FINDINFO HC / 2015 / 741 du 6 août 2015</w:t>
      </w:r>
    </w:p>
    <w:p>
      <w:r>
        <w:t>IT: VD_FINDINFO HC / 2015 / 741 del 6 agosto 2015</w:t>
      </w:r>
    </w:p>
    <w:p>
      <w:pPr>
        <w:pStyle w:val="Heading2"/>
      </w:pPr>
      <w:r>
        <w:t>Regeste</w:t>
      </w:r>
    </w:p>
    <w:p>
      <w:r>
        <w:t>PROTECTION DE L'UNION CONJUGALE, PLACEMENT D'ENFANTS DANS UNE INSTITUTION, RETRAIT DU DROIT DE GARDE | 310 al. 1 CC, 310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et les références citées).</w:t>
      </w:r>
    </w:p>
    <w:p>
      <w:r>
        <w:rPr>
          <w:b/>
        </w:rPr>
        <w:t>E. 3</w:t>
      </w:r>
    </w:p>
    <w:p>
      <w:r>
        <w:t>Dans un premier moyen, l’appelante invoque une violation de son droit d'être entendue. Elle reproche au premier juge d'avoir détourné l'objet initial de l'audience du 6 mai 2015 trois jours ouvrables avant sa tenue, alors que les conclusions des parties portaient sur le droit de visite de E.________, que la question du retrait de la garde n’avait pas fait l’objet d’une instruction complète en ce sens que les parties n’auraient pas pu poser des questions aux intervenants des Boréales ou à l’expert S.________. a)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(cf. TF 5A_361/2011 du 7 décembre 2011 c. 5.3.1). Le droit d'être entendu, tel qu'il est garanti par l'art. 29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 3.1 ; 126 I 15 c. 2a/aa ; 124 I 49 c. 3a). b) En l'espèce, la maxime d'office s'appliquant aux questions relatives aux enfants, le premier juge était autorisé à statuer sur la question de leur garde et ce même en l'absence de toute conclusion des parties à ce sujet. Pour le reste, le droit d'être entendue de l'appelante a été préservé dans la mesure où le premier juge a entendu les parties lors de son audience du 6 mai 2015. Or, à cette date, l'intéressée avait eu connaissance du courrier des Boréales du 10 avril 2015, tout comme de ceux du SPJ du 23 avril 2015 et du Dr S.________ du 28 avril 2015. Finalement, le premier juge a informé les parties que la question du droit de garde et du droit de visite serait traitée à l'audience du 6 mai 2015. Au regard du déroulement des faits tels qu'exposé ci-dessus, on doit admettre que l'appelante a eu le loisir de prendre connaissance, puis de se déterminer et de s'exprimer, sur tous les documents pertinents et de proposer tout autre moyen de preuve avant que le premier juge ne rende sa décision. Mal fondé, le moyen de l'appelante doit être rejeté.</w:t>
      </w:r>
    </w:p>
    <w:p>
      <w:r>
        <w:rPr>
          <w:b/>
        </w:rPr>
        <w:t>E. 4</w:t>
      </w:r>
    </w:p>
    <w:p>
      <w:r>
        <w:t>Sur le fond, l’appelante conteste le retrait de son droit de garde et le placement de ses enfants dans un lieu de résidence neutre. Elle soutient à cet égard que le Dr S.________ est le seul à préconiser une telle solution, alors que celui-ci n’avait pas vu les enfants depuis plus d’une année et que les parties n’avaient pas eu la possibilité de lui poser des questions pertinentes sur la nécessité d’une telle mesure. Elle reproche au premier juge de ne pas avoir effectué une pesée des intérêts en présence et, dans ce cadre, de ne pas avoir évalué les conséquences d’un placement sur les enfants qui sont très attachés à leur mère. a) aa) En vertu de l’art. 176 al. 3 CC (code civil suisse du 10 décembre 1907 ; RS 210), relatif à l’organisation de la vie séparée, lorsque les époux ont des enfants mineurs, le juge ordonne les mesures nécessaires, d’après les dispositions sur les effets de la filiation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Aux termes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e éd., Berne 1998, adaptation française par Meier, n. 27.36, p. 194). L’énumération des situations autorisant le retrait (provisoire) du droit de garde n’est pas exhaustive (Meier/Stettler, Droit de la filiation, 4 e éd., Zurich 2009, n. 1170, p. 673) ; les dissensions entre parents peuvent également représenter un danger pour l’enfant (Hegnauer, op. cit., n. 27.14, p. 186) et justifier le retrait de la garde.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 de protection de l’enfant sont en outre régies par les principes de proportionnalité et de subsidiarité (FF 1974 lI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 Knapp, Précis de droit administratif, 4 e éd., Bâle 1991, n. 538, p. 114). Une mesure telle que le retrait du droit de garde n’est ainsi légitime que s’il n’est pas possible de prévenir le danger par les mesures moins énergiques prévues aux articles 307 et 308 CC (Hegnauer, op. cit., n. 27.36, p. 194). Il convient donc d'être restrictif dans l'appréciation des circonstances, un retrait n'étant envisageable que si d'autres mesures ont été vouées à l'échec ou apparaissent d'emblée insuffisantes (arrêt 5A_238/2010 du 11 juin 2010 c. 4, in FamPra.ch 2010 p. 713). Le retrait du droit de garde doit être levé lorsque le milieu familial évolue favorablement, de sorte qu’un retour de l’enfant dans celui-ci devient opportun (art. 313 al. 1 CC). bb)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 3b, JT 1997 I 638 ; TF 5C.52/2005 du 1 er juillet 2005, c.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no 13 ad art. 133 CC et réf. citées). Confronté à l’opinion tranchée d’un enfant ayant atteint cet âge et avec le degré de maturité correspondant, le juge doit motiver une éventuelle décision contraire (Meier/Stettler, Droit de la filiation, 4 e éd., n. 495, p. 294). b) aa) En l’espèce, les différents rapports des intervenants peuvent être résumés comme suit : Dans son rapport pédopsychiatrique du 28 mars 2013, l’expert S.________ a expliqué qu’il n’était pas en mesure de confirmer définitivement que les enfants étaient engagés dans un processus d’aliénation parentale et que même s’il arrivait à cette conclusion, il n’était pas sûr qu’il préconiserait leur placement dans un environnement neutre au motif qu’il serait probable que les enfants auraient tendance à rendre leur père responsable d’une telle mesure. Dans son complément d’expertise du 18 mars 2014, il a préconisé un élargissement du droit de visite du père – avec la précision que l’absence de toute modification de la situation dans un délai de six mois devrait être considérée comme un signe d’alarme et poser la question de mauvais traitements psychologiques envers les enfants –, une prise en charge thérapeutique familiale dans l’Unité Les Boréales et l’octroi d’un mandat de curatelle éducative au SPJ, points auxquels le premier juge a donné suite. Dans un rapport du 7 janvier 2014, le Prof. H.________ –  consulté par N.________, mais qui a pris connaissance du dossier – a expliqué que le cadre idéal pour les enfants n’existait probablement pas, ces derniers ayant été et resteraient des victimes de la conflictualité parentale. Il a toutefois précisé, à cet égard, que la littérature scientifique la plus respectée était très clairement opposée à la parentectomie judiciaire en l’absence de la garantie qu’un nouveau cadre de vie aurait un effet bénéfique (compensant pour le traumatisme d’une séparation contrainte), sans les signes d’une maltraitance objectivable autre que le conflit interconjugal, et envers et contre la parole de l’enfant qui, aliéné ou pas, tentait de s’adapter à la situation ambiante. Il en a conclu qu’il convenait de déterminer l’alternative la moins néfaste pour le bien-être des enfants, tout en relevant qu’en cas de proposition de changement de lieu de vie, l’argumentation devrait être très convaincante. Dans son rapport du 24 mars 2015 suite à l’audition des enfants, l’ORPM a expliqué que depuis le mois d’octobre 2012, le conflit parental n’avait pas évolué, étant aussi puissant, dévastateur et agitateur que le premier jour et que les enfants tenaient toujours le même discours et l’adaptaient probablement pour protéger leur mère qu’ils estimaient la plus fragilisée. Dans son rapport du 10 avril 2015, l’Unité Les Boréales a également fait état d’un conflit parental qui ne s’apaise pas malgré tout le travail engagé par le SPJ et les rencontres thérapeutiques dans leur unité. Elle a relevé que les enfants étaient pris dans un conflit de loyauté majeur qui entravait leur développement psychologique et « parentifiés », de sorte qu’ils pourraient à l’avenir être confrontés à des difficultés d’autonomisation puisqu’ils demeuraient l’étayage de leur mère. Au vu de la situation chroniquement délétère pour le bien-être des enfants, elle a conclu que la mise en place de mesures de protection à leur égard pourrait leur permettre de sortir de cette stratégie de sur-adaptation afin qu’ils puissent vivre de manière plus authentique. Elle a précisé qu’un tel processus était souvent accompagné, dans un premier temps, de l’expression d’une importante souffrance et que dans ce cas celle-ci pourrait être comprise comme la première étape d’une accession à une plus grande authenticité et comme la sortie d’une parentification. Finalement, le Dr S.________, dans son courrier du 28 avril 2015, a approuvé le point de vue de l’Unité Les Boréales et a estimé que le moment était venu de se poser sérieusement la question de mesure de protection sous forme d’un éloignement des enfants de l’environnement familial. Il a considéré que des mesures devaient être prises rapidement et que les éléments du dossier étaient suffisamment éloquents pour prononcer un retrait de la garde sans qu’un complément d’expertise soit nécessaire. bb) Les intervenants reprochent à N.________ d’instrumentaliser ses enfants, ce qui aurait pour effet de les « parentifier » et de les faire évoluer dans un milieu familial « toxique ». Cela étant, il ressort du dossier que les enfants parviennent à avoir une vie relativement équilibrée en dehors de ce contexte dès lors qu’ils n’ont aucunes difficultés scolaires, disposent d’une vie sociale normale et exercent des activités extrascolaires. Leur âge leur permet d’ailleurs déjà d’avoir une certaine indépendance qui peut les aider à sortir du conflit familial. En l’état, il paraît difficile de déterminer si, à long terme, un effet positif pourrait se dégager d’un placement en foyer d’O.________ et C.________. Un tel placement leur permettrait certes de prendre de la distance avec ce contexte familial, mais il réduirait à néant leur cadre de vie scolaire et amical actuel qui apparaît clairement sain et les priverait de l’amour quotidien de leur mère, dont les compétences ne sont pour le reste pas remises en cause. Dans ces circonstances, il paraît légitime d’avoir des doutes sur le bénéfice d’un tel placement. On rappelle d’ailleurs la remarque du Dr H.________, psychologue reconnu, qui relevait que la littérature scientifique la plus respectée était très clairement opposée à la parentectomie judiciaire en l’absence de la garantie qu’un nouveau cadre de vie aurait un effet bénéfique (compensant pour le traumatisme d’une séparation contrainte), sans les signes d’une maltraitance objectivable autre que le conflit interconjugal, et envers et contre la parole de l’enfant qui, aliéné ou pas, tente de s’adapter à la situation ambiante, comme en l’espèce. En outre, les enfants s’opposent vivement à leur placement et leurs courriers remis le 3 mai 2015 à la Présidente du Tribunal paraissent sincères. Si l’on peut adopter une certaine retenue dans la prise en compte de l’avis des enfants dans une telle cause – les enfants ne pouvant pas se rendre compte d’un éventuel bénéfice à long terme d’un placement dans un foyer –, il n’en demeure pas moins qu’au vu de leur âge (15 et 13 ans) et de leur maturité apparente, leur avis, sans qu’il soit déterminant, doit être pris en compte. Dans ses déterminations en procédure d’appel, le SPJ, qui intervient au sein de la famille depuis octobre 2012, est par ailleurs d’avis qu’en l’espèce, un placement des enfants ne se justifie pas. Il en ressort notamment ce qui suit : « Dans le cas particulier, nous sommes d’avis qu’au regard de la situation complexe et des enjeux relationnels au sein de cette famille, le placement d’O.________ et de C.________ hors du milieu familial n’aura que peu d’effets sur la relation parentale conflictuelle. Au contraire, cela pourrait accentuer l’animosité entre les parties qui vont se rejeter mutuellement la responsabilité du placement et renforcer de ce fait, le conflit de loyauté dans lequel se trouvent les enfants qui ont pris fait et cause pour l’appelante. En effet, on peut émettre l’hypothèse qu’en choisissant une opinion proche de celle de leur mère, les enfants tentent de se protéger des propos du parent le plus en souffrance. Malgré ce qui précède, l’on peut toutefois constater que ces deux adolescents ressentent et expriment la peine de chacun des membres de la famille découlant du conflit existant. O.________ et C.________ sont capables de se protéger du discours paternel relatif aux sujets sensibles (dénigrement de la mère, religion et sexualité). Par ailleurs, ils nous affirment s’opposer à leur mère, quand celle-ci tente de parler de leur père. Même s’il est indiqué dans le rapport d’expertise du Docteur S.________ qu’un placement reste la solution, ce dernier ne ferait, à notre sens, qu’un travail autour “du symptôme” et ne pourrait traiter le véritable problème du conflit majeur opposant les deux parents. De plus, C.________ et O.________ sont des adolescents et, une fois placés, ils devront bouleverser leur environnement scolaire et amical qui, à ce jour, leur est bénéfique. Les deux mineurs affirment se concentrer sur leurs études et ont d’excellents résultats. Dans cette situation, force est de constater que le fonctionnement familial actuel n’a pas permis une évolution bénéfique au travers des solutions mises en place (notamment une médiation de couple, thérapie aux Boréales avec un travail sur le fonctionnement conjugal). Le placement risque à fortiori d’être mis en échec par les différents membres de la famille et amplifier les jeux relationnels néfastes. Au regard de l’âge des enfants, ceux-ci pourraient se sentir victimes du placement et entrer dans une démotivation et une fragilité émotionnelle, maintenue semble-t-il à ce jour par ce même fonctionnement rigide. Comme indiqué précédemment, le placement risque de cliver encore plus l’antagonisme entre les parties. Dans l’état, nous proposons de tenter une médiation familiale permettant de travailler sur les relations et les besoins individuels de chaque membre de la famille. Pour ce faire, nous imaginons la possibilité que cette médiation se réalise entre le père et ses enfants, chacun individuellement, mais également entre l’appelante et ses enfants de la même manière. Cette médiation devrait avoir pour objectif de se centrer sur les différents modes de communication intrafamiliale, afin de mettre en place un espace sécurisé où chaque enfant pourra s’exprimer librement. Cela correspond également au voeu de C.________ et O.________ qui ont pu nous faire part de ce besoin de pouvoir dialoguer différemment avec chacun des parents. En conclusion, nous sommes persuadés, au vu de ce qui précède, que le placement de la fratrie serait plus préjudiciable que bénéfique à leur bon développement, ce d’autant plus qu’au vu du peu de places existantes en institution, il y aurait un risque de déracinement des adolescents de leur milieu social et scolaire, si un tel placement devait être effectué. » Si l’Unité Les Boréales et l’expert S.________ ont émis un avis différent dans leurs dernières correspondances – avec toutefois une certaine retenue s’agissant de l’Unité Les Boréales –, sur lequel le premier juge s’est d’ailleurs essentiellement basé pour rendre son ordonnance, il y a lieu de relativiser leur portée. Sans remettre en cause les compétences reconnues de ces professionnels, leurs courriers ne suffisent pas pour ordonner le placement des enfants, compte tenu du fait qu’ils ne comprennent pas une analyse complète de la situation, en particulier une évaluation des conséquences possibles d’un placement en foyer, et dans la mesure où aucun autre élément solide au dossier ne plaide pour une telle décision. S’agissant de l’expert, il n’a par ailleurs n’a pas suivi personnellement l’évolution du contexte familial puisque plus d’une année s’est écoulée entre le dépôt de son complément d’expertise et son courrier du 28 avril 2015. Compte tenu de l’ensemble des circonstances et sur la base du dossier actuel, il ne semble en l’état pas approprié d’ordonner le retrait de la garde des enfants à leur mère et de charger le SPJ de placer ces derniers dans un lieu de résidence neutre. Cette mesure ne garantit en effet pas une amélioration de la situation des enfants et comporte, au contraire, le risque que celle-ci se péjore, comme le relève d’ailleurs le SPJ, de sorte qu’elle n’apparaît pas justifiée au regard du principe de la proportionnalité.</w:t>
      </w:r>
    </w:p>
    <w:p>
      <w:r>
        <w:rPr>
          <w:b/>
        </w:rPr>
        <w:t>E. 5</w:t>
      </w:r>
    </w:p>
    <w:p>
      <w:r>
        <w:t>a) Les considérations qui précèdent conduisent ainsi à l’admission de l’appel, à l’annulation des chiffres II à XI de l’ordonnance attaquée et au renvoi de la cause au premier juge pour qu’il examine l’opportunité d’ordonner une médiation familiale telle que proposée par le SPJ et/ou d’autres mesures de protection en faveur des enfants. b) Le litige relève du droit de la famille, de sorte qu'il est possible de s'écarter des règles générales en matière de frais (art. 107 al. 1 let. c CPC). En l’occurrence, compte tenu des circonstances qui ont conduit au prononcé attaqué, il ne se justifie pas de mettre les frais judiciaires de deuxième instance à la charge du canton au sens de l’art. 107 al. 2 CPC. Arrêtés à 600 fr. (art. 65 al. 2 TFJC [Tarif des frais judiciaires civils du 28 septembre 2010; RSV 270.11.5]), ils seront répartis par moitié entre les parties, étant précisé que l’assistance judiciaire a été accordée à ces dernières et que ces frais seront donc laissés provisoirement à la charge de l'Etat. Compte tenu de la nature de la cause et du fait que l’intimé s’en est remis à justice, les dépens seront compensés. c) Le conseil d'office de N.________ a déposé le 7 septembre 2015 sa liste d'opérations annonçant que lui-même et son associée avaient consacré 14.58 heures à la procédure d'appel, ce qui paraît justifié vu l'ampleur du litige et le travail accompli. Au tarif horaire de 180 fr. (art. 2 RAJ [Règlement sur l'assistance judiciaire en matière civile du 7 décembre 2010; RSV 211.02.3]), l'indemnité d'honoraires doit être fixée à 2'624 fr. 40, à quoi s’ajoutent les débours par 72 fr. 35 et la TVA sur le tout par 215 fr. 75, soit au total à 2'912 fr. 50. d) Quant au conseil d'office de E.________, il a déposé sa liste d'opérations le 8 septembre 2015, annonçant que son avocat-stagiaire avait consacré 7h40 à la procédure d’appel. Au tarif horaire de 110 fr. (art. 2 RAJ), l'indemnité d'honoraires doit être fixée à 843 fr. 35, à quoi s’ajoutent les débours pour 26 fr. et la TVA sur le tout par 69 fr. 55, soit au total à 938 fr. 90. e)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admis. II. Les chiffres II à XI de l’ordonnance sont annulés et la cause renvoyée à la Présidente du Tribunal civil de l’arrondissement de l’Est vaudois pour qu’elle examine l’opportunité d’ordonner une médiation familiale et/ou d’autres mesures de protection en faveur des enfants O.________, née le [...] 2000, et C.________, né le [...] 2002. III. Les frais judiciaires de deuxième instance, arrêtés à 300 fr. (trois cents francs) pour l'appelante N.________ et à 300 fr. (trois cents francs) pour l'intimé E.________, sont laissés provisoirement à la charge de l'Etat. IV. L'indemnité d'office de Me Habib Tabet, conseil de l'appelante, est arrêtée à 2'912 fr. 50 (deux mille neuf cent douze francs et cinquante centimes), TVA et débours compris, et celle de Me Lise-Marie Gonzales Pennec, conseil de l'intimé, à 938 fr. 90 (neuf cent trente-huit francs et nonante centimes), TVA et débours compris. V. Les bénéficiaires de l'assistance judiciaire sont, dans la mesure de l'art. 123 CPC, tenus au remboursement des frais judiciaires et de l'indemnité au conseil d'office mis à la charge de l'Etat. VI. L'arrêt est exécutoire. La Juge déléguée : La greffière : Du L'arrêt qui précède, dont la rédaction a été approuvée à huis clos, est notifié à : ‑ Me Habib Tabet (pour N.________), ‑ Me Lise-Marie Gonzales Pennec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