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739 vom 31. August 2015</w:t>
      </w:r>
    </w:p>
    <w:p>
      <w:r>
        <w:t>VD Tribunal cantonal, 2015-08-31, FR</w:t>
      </w:r>
    </w:p>
    <w:p>
      <w:r>
        <w:rPr>
          <w:b/>
        </w:rPr>
        <w:t xml:space="preserve">Quelle: </w:t>
      </w:r>
      <w:r>
        <w:t>https://mcp.opencaselaw.ch/entscheid/vd_findinfo_HC___2015___739</w:t>
      </w:r>
    </w:p>
    <w:p>
      <w:r>
        <w:t>FR: VD_FINDINFO HC / 2015 / 739 du 31 août 2015</w:t>
      </w:r>
    </w:p>
    <w:p>
      <w:r>
        <w:t>IT: VD_FINDINFO HC / 2015 / 739 del 31 agosto 2015</w:t>
      </w:r>
    </w:p>
    <w:p>
      <w:pPr>
        <w:pStyle w:val="Heading2"/>
      </w:pPr>
      <w:r>
        <w:t>Regeste</w:t>
      </w:r>
    </w:p>
    <w:p>
      <w:r>
        <w:t>DÉCISION DE RENVOI, RENVOI{DROIT DES ÉTRANGERS}, REJET DE LA DEMANDE, DÉTENTION AUX FINS D'EXPULSION, SÉNÉGAL | 69 al. 2 LEtr, 80 al. 6 let. a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Interjeté en temps utile, par le recourant, qui y a un intérêt, le recours est recevable à la forme.</w:t>
      </w:r>
    </w:p>
    <w:p>
      <w:r>
        <w:rPr>
          <w:b/>
        </w:rPr>
        <w:t>E. 2</w:t>
      </w:r>
    </w:p>
    <w:p>
      <w:r>
        <w:t>La Juge de paix du district de Lausanne est l’autorité compétente en vertu des art. 17 et 20 LVLEtr. Saisi d’une requête motivée et documentée du SPOP du 31 juillet 2015, ce magistrat a procédé à l'audition du recourant le même jour. Le recourant a été entendu et ses déclarations ont été résumées au procès-verbal dans ce qu'elles avaient d'utiles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En l’espèce, il y a en particulier lieu de tenir compte du fait nouveau selon lequel le recourant a séjourné du 1 er au 12 août 2015 à l’Hôpital de Malévoz, à Monthey (VS) pour « raisons médicales ».</w:t>
      </w:r>
    </w:p>
    <w:p>
      <w:r>
        <w:rPr>
          <w:b/>
        </w:rPr>
        <w:t>E. 4</w:t>
      </w:r>
    </w:p>
    <w:p>
      <w:r>
        <w:t>a) Sans contester les fondements juridiques de l’ordonnance, le recourant fait valoir, en substance, qu’il aurait vécu plusieurs années en France où il aurait notamment été traité pour des troubles psychiatriques ou psychologiques, que le refus de sa réadmission dans cet Etat serait dû à l’indication dans la demande de réadmission d’une date de naissance erronée (1 er janvier 1977 au lieu de 20 novembre 1982), qu’il souffre actuellement de problèmes de santé qui ont valu une hospitalisation en unité psychiatrique et qu’il ne pourrait pas bénéficier de tels soins en cas de renvoi au Sénégal. b)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Aux termes de l’art. 69 al. 2 LEtr, si l'étranger a la possibilité de se rendre légalement dans plusieurs Etats, l'autorité compétente peut le renvoyer ou l'expulser dans le pays de son choix. Le renvoi dans un pays tiers du choix de l’étranger présuppose que ce dernier ait la possibilité de s’y rendre légalement et constitue, qui plus est, une faculté (« peut ») de l’autorité compétente (TF 2C_393/2009 du 6 juillet 2009 c. 3.4). L’art.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(TF 2C_952/2011 du 19 décembre 2011 c. 4.1 ; TF 2C_625/2011 du 5 septembre 2011 c. 4.2.1 ; TF 2C_386/2010 du 1 er juin 2010 c. 4). Une mise en danger concrète de l’intéressé en cas de retour dans son pays d’origine peut aussi constituer de telles raisons (ATF 125 II 217 c. 2 ; TF 2C_625/2011 du 5 septembre 2011 c. 4.2.1). Il ne faut toutefois pas perdre de vue que l’objet de la présente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Le juge de la détention ne peut revoir à titre préjudiciel une décision de renvoi que si celle-ci apparaît manifestement inadmissible, soit parce qu’elle est arbitraire, soit parce qu’elle est nulle (ATF 125 II 217 c. 2 ; TF 2C_625/2011 du 5 septembre 2011 c. 4.2.1). c) En l’espèce, dès lors que le recourant n’a pas établi disposer des documents qui lui permettraient de se rendre et de séjourner en France, on ne saurait retenir, au sens l’art. 69 al. 2 LEtr, que les conditions d’un renvoi dans un pays tiers sont réunies. Il est en effet exclu de renvoyer l’intéressé en France, celui-ci n’ayant pas la nationalité française et ne bénéficiant d’aucun statut légal de séjour dans cet Etat, qui a au demeurant déjà refusé sa réadmission. Ainsi que le démontrent les décisions pénales et administratives rendues à son encontre, le recourant s’est toujours borné à produire des faux documents d’identité ou des copies de documents administratifs français dépourvus de valeur probante. S’agissant des problèmes de santé psychique allégués par le recourant, ceux-ci sont, le cas échéant, liés à sa privation de liberté et rien ne démontre qu’il en résulterait une incompatibilité avec l’exécution de son renvoi. Au demeurant, lors de son interpellation du 20 novembre 2014, le recourant a déclaré aux agents de l’Inspection du travail du canton du Valais qu’il se sentait en bonne santé, tout en relevant qu’il suivait un traitement pour problèmes psychiques en France. Enfin, il est constaté que le recourant a déjà fait l’objet d’un renvoi forcé au Sénégal, dont il est revenu sans que sa santé psychique en soit altérée. Au surplus, le recourant ne fait pas valoir que la décision de renvoi serait nulle ou entachée d’arbitraire.</w:t>
      </w:r>
    </w:p>
    <w:p>
      <w:r>
        <w:rPr>
          <w:b/>
        </w:rPr>
        <w:t>E. 5</w:t>
      </w:r>
    </w:p>
    <w:p>
      <w:r>
        <w:t>Il s’ensuit que le recours doit être rejeté et l’ordonnance entreprise confirmée. Le présent arrêt peut être rendu sans frais judiciaires (art. 50 LPA-VD).</w:t>
      </w:r>
    </w:p>
    <w:p>
      <w:r>
        <w:rPr>
          <w:b/>
        </w:rPr>
        <w:t>E. 6</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Olivier Buttet a produit le 21 août 2015 une liste d’opérations, annonçant 10 heures et 18 minutes (10.3 heures) de temps consacré au dossier ainsi que 50 fr. de débours et 61 fr. 80 pour la location d’un véhicule « Mobility ». Les heures facturées pour le déplacement (1.8 heures) ainsi que les frais de vacation (véhicule « Mobility ») n’ayant pas à être pris en considération dans leur intégralité (CREC 2 octobre 2012/344), il y a lieu de retrancher de la liste d’opérations le temps et les frais consacrés à la vacation et de s’en tenir à un forfait de 120 fr. (CREC 26 octobre 2012/382, in JT 2013 III 3). Il convient également de réduire à 1 heure le temps de 1.9 heures consacré à des communications téléphoniques, celles-ci étant d’une durée excessive. Enfin, étant relevé que le recours comporte huit pages aérées et présente pour l’essentiel des allégations de fait, les périodes de 2.1 heures et de 1.4 heures consacrées respectivement les 12 et 14 août 2015 à la rédaction et à la correction du recours seront ramenées à 2.2 heures. En définitive, un temps de 4 heures doit être retranché de la liste d’opérations, de sorte c’est un temps consacré au dossier de 6 heures et 18 minutes (6.3 heures) qui doit être retenu. Compte tenu d’un tarif horaire de 180 fr. pour les avocats (art. 2 al. 1 let. a RAJ [règlement sur l’assistance judiciaire en matière civile du 7 décembre 2010 ; RSV 211.02.3]), l’indemnité d’office de Me Olivier Buttet doit ainsi être arrêtée à un montant de 1'134 fr., arrondi à 1'140 fr., et auquel s’ajoute encore 50 fr. pour les débours, 120 fr. pour l’indemnité de vacation et 104 fr. 80 de TVA (8% sur le tout), soit 1'414 fr. 80 au total. Par ces motifs, la Chambre des recours civile du Tribunal cantonal, prononce : I. Le recours est rejeté. II. L’ordonnance est confirmée. III. L’arrêt est rendu sans frais. IV. L’indemnité d’office de Me Olivier Buttet, conseil d’office du recourant, est arrêtée à 1'414 fr. 80 (mille quatre cent quatorze francs et huitante centimes), TVA et débours compris. V. L’arrêt motivé est exécutoire. Le président :               Le greffier : Du 1 er septembre 2015 Le dispositif de l'arrêt qui précède est communiqué par écrit aux intéressés. Le greffier : Du L'arrêt qui précède, dont la rédaction a été approuvée à huis clos, est notifié en expédition complète, par l'envoi de photocopies, à : ‑ Me Olivier Buttet (pour S.________)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