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735 vom 30. Juni 2015</w:t>
      </w:r>
    </w:p>
    <w:p>
      <w:r>
        <w:t>VD Tribunal cantonal, 2015-06-30, FR</w:t>
      </w:r>
    </w:p>
    <w:p>
      <w:r>
        <w:rPr>
          <w:b/>
        </w:rPr>
        <w:t xml:space="preserve">Quelle: </w:t>
      </w:r>
      <w:r>
        <w:t>https://mcp.opencaselaw.ch/entscheid/vd_findinfo_HC___2015___735</w:t>
      </w:r>
    </w:p>
    <w:p>
      <w:r>
        <w:t>FR: VD_FINDINFO HC / 2015 / 735 du 30 juin 2015</w:t>
      </w:r>
    </w:p>
    <w:p>
      <w:r>
        <w:t>IT: VD_FINDINFO HC / 2015 / 735 del 30 giugno 2015</w:t>
      </w:r>
    </w:p>
    <w:p>
      <w:pPr>
        <w:pStyle w:val="Heading2"/>
      </w:pPr>
      <w:r>
        <w:t>Regeste</w:t>
      </w:r>
    </w:p>
    <w:p>
      <w:r>
        <w:t>DIVORCE, ACTION EN MODIFICATION, OBLIGATION D'ENTRETIEN | 153 al. 2 CC</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non patrimoniales ou, dans les causes causes patrimoniales, si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l’appel a été formé en temps utile par une partie qui y a intérêt (art. 59 al. 2 let. a CPC) et porte sur des conclusions supérieures à 10'000 francs. Les conclusions sont celles prises en première instance et ne sont pas nouvelles (art. 317 al. 2 CPC). Certes, l’intimée plaide que l’appelant a conclu en première instance uniquement à la suppression de la pension, et non pas à une éventuelle réduction. A la lecture de l’art. 153 aCC, les deux possibilités seraient distinctes et la conclusion en réduction serait irrecevable. Toutefois, il est évident que ce qui doit être qualifié d’une réduction de conclusions à titre subsidiaire est possible en appel (Tappy, CPC Commenté, n. 11 ad art. 230 CPC, p. 886). L’appel est donc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La Cour peut revoir librement l’appréciation des faits sur la base des preuves administrées en première instance. En l’espèce, l’appel porte uniquement sur la question de la contribution d’entretien due par l’appelant en faveur de l’intimée, de sorte que seules la maxime des débats et la maxime de disposition sont applicables. b) L’appel est principalement réformatoire. L’autorité d’appel peut toutefois à titre exceptionnel renvoyer la cause en première instance si un élément essentiel de la demande n’a pas été examiné ou si l’état de fait doit être complété sur des points essentiels (Tappy, Les voies de droit du nouveau Code de procédure civile, JT 2010 III 115, spéc. 148).</w:t>
      </w:r>
    </w:p>
    <w:p>
      <w:r>
        <w:rPr>
          <w:b/>
        </w:rPr>
        <w:t>E. 3</w:t>
      </w:r>
    </w:p>
    <w:p>
      <w:r>
        <w:t>Il n’est pas contesté que le droit suisse soit applicable à l’action, en vertu des art. 49 et 64 al. 2 LDIP (loi fédérale sur le droit international privé du 18 décembre 1987 ; RS 291), qui renvoient d’ailleurs à la Convention de La Haye du 2 octobre 1973 (CLaH 73 ; RS 0.211.213.01) sur la loi applicable aux obligations alimentaires, plus particulièrement à son article 4 al. 1. Il n’est pas non plus contesté que la modification d’un jugement de divorce rendu avant le 1 er janvier 2000 reste régi par l’ancien droit, sous réserve des dispositions relatives aux enfants et à la procédure (art. 7a al. 3 Tit. Fin. CC).</w:t>
      </w:r>
    </w:p>
    <w:p>
      <w:r>
        <w:rPr>
          <w:b/>
        </w:rPr>
        <w:t>E. 4</w:t>
      </w:r>
    </w:p>
    <w:p>
      <w:r>
        <w:t>L’appelant reproche tout d’abord au premier juge d’avoir considéré que la pension convenue entre les parties en 1991 était immuable, en vertu du principe de la clausula rebus sic stantibus. Il relève en particulier que le montant fixé par convention est susceptible d’être modifié aux conditions de l’art. 153 al. 2 aCC et que le principe précité, plus restrictif, ne s’applique pas en l’espèce. a/aa) Selon le jugement de divorce du 28 novembre 1986, une pension a été allouée à l’intimée en application de l’art. 152 aCC. L’art. 153 al. 2 aCC prévoit que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Le Tribunal fédéral a retenu que la rente pouvait être réduite si la situation économique du débiteur se détériorait et si la situation du bénéficiaire s’améliorait, mais à la condition que cette amélioration soit importante et à vues humaines durable et qu’elle n’ait pas pu être prévue au moment du divorce (ATF 117 Il 211, JT 1994 I 265 et les réf. citées). Une modification peut intervenir même si la contribution a été fixée par convention (ATF 105 Il 168, JT 1980 I 536). Lorsqu’une rente à vie a été accordée, il faut prendre en considération la manière dont la situation économique du bénéficiaire se présentera lorsqu’il aura atteint l’âge de la retraite; la modification du jugement de divorce ne constitue pas une révision de ce dernier et le juge est lié par les constatations du jugement. Pour répondre à la question de savoir s’il existe une modification notable depuis le divorce, il faut prendre comme point de départ les éléments constatés par le juge dans le jugement de divorce (ATF 117 II 359 c. 5 et 6, JT 1994 I 322). Un procès en modification permet seulement une adaptation de la rente à un changement des circonstances.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II 359 c. 5 et 6 déjà cité; TF 5A_721/2007 du 29 mai 2008 c. 3.1; TF 5C.197/2003 du 30 avril 2004 c. 2.1, in FamPra.ch 2004 p. 689, avec références). Une augmentation des charges de la famille du débiteur, par exemple son remariage, peut justifier la suppression ou la réduction de la rente ou de la pension si le débiteur, malgré tous les efforts qui peuvent lui être demandés, ne peut plus payer sans tomber, lui et sa nouvelle famille, dans le besoin ou tout au moins sans devoir se restreindre plus que le créancier (ATF 79 II 137, JT 1954 I 263; SJ 1992 p. 129). Pour fixer le montant de la pension ou de la rente, il faut prendre en considération les circonstances futures déjà certaines ou fort probables au moment du divorce; ce principe s’impose à plus forte raison lorsque le juge est appelé à statuer sur une demande en modification du jugement de divorce (ATF 120 Il 4, JT 1999 I 41). On ajoutera que cette jurisprudence a été confirmée sous l’empire du nouveau droit. Ainsi,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Récemment, le Tribunal fédéral a rappelé que l’analyse de chaque cas devait se faire de manière concrète, en comparant les situations avant et après le changement de circonstances. Des comparaisons en pourcentages des revenus peuvent représenter un indice utile, mais ne dispensent pas le juge d’une analyse concrète du cas d’espèce (TF 5A_93/2011 du 13 septembre 2011 c. 6.1; ATF 118 lI 229 c. 3a). ab) Si le Tribunal fédéral a admis la possibilité d’instaurer une renonciation à demander une modification de la rente d’assistance, il a également rappelé que ce principe n’aboutissait que très rarement à une résolution ou à une modification du contrat (ATF 122 III 97, JT 1997 I 294). Il n’en reste pas moins que, dans un arrêt très ancien (ATF 67 II 6), la Haute Cour a retenu que les anciens époux étaient en droit de modifier par accord le règlement de leurs intérêts pécuniaires et qu’il était admissible que la pension allouée à titre de secours soit soumise à l’art. 153 al. 2 aCC, mais qu’une telle pension ne pouvait plus être révisée lorsque les parties ont entendu exclure à l’avenir toute modification. Dans l’arrêt en question, il était toutefois fait état, dans les faits, d’un courrier d’avocat qui précisait que la concession de la créancière dans les pourparlers impliquait que la rente était invariable et prenait le caractère d’une rente viagère. Ce point est discutable, mais il semble effectivement excessif de retenir une contribution « immuable », soit qui échapperait aux conditions posées par l’art. 153 al. 2 aCC pour une modification ou une suppression. Comme le Tribunal fédéral l’a rappelé, la clausula rebus sic stantibus ne doit être appliquée que rarement et dans des circonstances bien précises. b) En l’espèce, il est admis que la convention passée en 1991 prévoyait expressément que la pension était payable « durant toute l’existence de B.Q.________ ». Toutefois, il apparaît que cet élément devait plutôt être compris comme la volonté des parties de prévoir d’ores et déjà le versement de la pension convenue au-delà de l’âge de la retraite, et non pas jusqu’à cet âge-là, comme souvent dans les conventions de ce genre. En ce sens, elle prévoyait bien un versement jusqu’au décès de la créancière d’aliments, mais cela ne signifie pas encore qu’aucune modification subséquente, sous réserve de la clausula rebus sic stantibus, ne pouvait intervenir. Si l’on se réfère à I’ATF 67 Il 6, il aurait fallu établir en plus le caractère irrévocable et compensatoire de la pension fixée, ce qui ne semble pas avoir été le cas en l’espèce. Le moyen de l’appelant paraît ainsi fondé. Toutefois, cela ne signifie pas encore que l’appel doive être admis. Il reste en effet à examiner si les conditions de l’art. 153 al. 2 aCC sont réalisées.</w:t>
      </w:r>
    </w:p>
    <w:p>
      <w:r>
        <w:rPr>
          <w:b/>
        </w:rPr>
        <w:t>E. 5</w:t>
      </w:r>
    </w:p>
    <w:p>
      <w:r>
        <w:t>L’appelant critique ensuite la prévisibilité de sa situation à la retraite. Il rappelle que les parties ont divorcé alors qu’elles n’avaient pas encore 40 ans et qu’il n’était pas possible de prévoir la situation financière qu’elles auraient à l’âge de la retraite. L’appelant revient donc sur la baisse importante de ses revenus en raison de celle-ci. Comme on l’a vu, la jurisprudence admet que l’art. 153 al. 2 aCC permet une réduction ou une suppression de la pension dans les cas où la modification ne pouvait pas être prévue au moment du divorce. Or, et l’appelant l’admet, sa retraite était facilement prévisible, tout comme la baisse de ses revenus. Le Tribunal fédéral s’est exprimé clairement sur le fait qu’un départ à la retraite avec évidemment une baisse des revenus, ne justifiait pas à lui seul une baisse de la pension (ATF 108 lI 30, JT 1984 I 255). De plus, il y a lieu de retenir que, s’il parait difficile d’affirmer avec certitude que la pension qui a été adaptée par convention en 1991 impliquait un caractère viager quasi-irrévocable, il est en revanche évident que l’on ne saurait expliquer autrement les termes « durant toute l’existence de B.Q.________ » que par la volonté des parties de prévoir, d’une part, une réduction d’un tiers de la pension fixée précédemment et, d’autre part, une durée non limitée par la retraite du débiteur. L’appelant a pris une retraite anticipée, alors même qu’il savait qu’il avait signé une convention prévoyant une pension pour son ex-épouse qui s’étendait au-delà de sa retraite. Partant, et sur ce point, il ne peut s’en prendre qu’à lui-même s’il a décidé de limiter le montant de sa rente à sa retraite par ce départ anticipé. Le moyen doit donc être rejeté.</w:t>
      </w:r>
    </w:p>
    <w:p>
      <w:r>
        <w:rPr>
          <w:b/>
        </w:rPr>
        <w:t>E. 6</w:t>
      </w:r>
    </w:p>
    <w:p>
      <w:r>
        <w:t>L’appelant soutient par ailleurs que l’ancien droit du divorce, applicable jusqu’à l’entrée en vigueur des art. 122 et ss CC dès le 1er janvier 2000, impliquait souvent une pension non limitée dans le temps, mais aussi une application de l’art. 153 aCC à l’âge de la retraite. Le raisonnement inverse peut également être tenu, en ce sens que, puisque l’ancien droit ne prévoyait aucun partage obligatoire de la LPP de l’un ou l’autre des époux, il était cohérent de prévoir des pensions et rentes qui s’étendaient au-delà de la retraite du créancier, ce qui était le cas en l’espèce. Ensuite, soutenir que l’application de l’art. 153 aCC permettait de corriger la baisse de revenus revient à oublier que les conditions liées à une modification de la pension n’étaient pas admises facilement, et qu’elles ne l’ont jamais été. Partant, le moyen doit être rejeté.</w:t>
      </w:r>
    </w:p>
    <w:p>
      <w:r>
        <w:rPr>
          <w:b/>
        </w:rPr>
        <w:t>E. 7</w:t>
      </w:r>
    </w:p>
    <w:p>
      <w:r>
        <w:t>L’appelant fait en outre valoir que le calcul du minimum vital devrait impliquer une modification, voire la suppression de la pension. Sur les comparaisons en pourcentage auxquelles se livre l’appelant tout d’abord, il apparaît qu’elles ne sont pas pertinentes, puisqu’elles impliquent de comparer le revenu avant et après la retraite. Or, comme on l’a vu plus haut, la retraite est un événement prévisible d’une part, et constitue un élément dont il avait été tenu compte en relation avec l’absence de prévoyance professionnelle attribuée à l’épouse d’autre part. Cette critique tombe ainsi à faux. Ensuite, l’appelant soutient que la méthode du minimum vital serait inadéquate au vu de son installation au Maroc et qu’il y aurait lieu de prendre en considération les frais normaux d’un débirentier à la retraite au Maroc par rapport au niveau de vie qui a été le sien lorsqu’il travaillait encore. La critique est infondée. En effet, la méthode du minimum vital est celle préconisée par la jurisprudence, dont les tribunaux ne peuvent s’écarter qu’en cas de revenus largement supérieurs, ce qui n’est pas le cas en l’espèce.</w:t>
      </w:r>
    </w:p>
    <w:p>
      <w:r>
        <w:rPr>
          <w:b/>
        </w:rPr>
        <w:t>E. 8</w:t>
      </w:r>
    </w:p>
    <w:p>
      <w:r>
        <w:t>Enfin, l’appelant conteste certains postes retenus par le premier juge dans le cadre du calcul du minimum vital. S’agissant du budget de son ex-épouse, l’appelant invoque que le montant de 600 fr. par mois retenu à titre d’impôt serait essentiellement dû en raison de la contribution d’entretien. Son raisonnement est exact, mais il s’agit d’une conséquence de la pension fixée, et non d’un motif de réduction. Quant aux 600 fr. pris en compte pour frais médicaux et dentaires, il y a lieu de renvoyer aux pièces produites par l’intimée (P. 108 et 109) qui permettent d’attester du montant mensualisé. Enfin, concernant le montant mensuel de 50 fr. dû à l’assistance judiciaire, il y a lieu de relever que, compte tenu des montants alloués au conseil d’office, le remboursement va effectivement durer plusieurs années. De plus, l’appelant ne peut s’en prendre qu’à lui-même, puisqu’il a, et cela à plusieurs reprises déjà, obligé son ex-épouse à dépenser des montants en frais et honoraires d’avocat en raison de ses procédures, vaines au demeurant. Pour ce qui est de son propre budget, l’appelant conteste l’absence de prise en compte du montant de 1’350 fr. par mois pour les frais médicaux de son épouse et de lui-même, ou à tout le moins sa réduction à 330 fr. par mois. Ce point a été motivé par le premier juge, qui a expliqué que l’appelant n’avait contracté aucune assurance et que cette charge était donc virtuelle. Le premier juge a toutefois admis un montant de 330 fr., ce qui est généreux, puisqu’en réalité, faute de justificatif d’un paiement effectif pour de tels frais, ce poste aurait pu être écarté. Pour les frais dentaires, là encore, il ne s’agit que d’un devis, soit d’une dépense virtuelle et future, et non d’une dépense effective, de sorte que le premier juge a écarté également avec raison ce poste. Enfin, les frais invoqués à hauteur de 1’350 fr. par an, soit environ 110 fr. par mois, pour une visite annuelle de l’appelant à sa fille en Suisse auraient été écartés sans motivation; même si ces frais devaient être admis, cela ne changerait rien au calcul, puisque, comme on l’a vu, les frais médicaux, notamment, ont été surévalués. De toute manière, il faudrait des modifications plus substantielles pour envisager une modification de la pension (ATF 95 II 385, JT 1971 I 60). Le moyen tiré du calcul du minimum vital doit ainsi être rejeté.</w:t>
      </w:r>
    </w:p>
    <w:p>
      <w:r>
        <w:rPr>
          <w:b/>
        </w:rPr>
        <w:t>E. 9</w:t>
      </w:r>
    </w:p>
    <w:p>
      <w:r>
        <w:t>L’appelant soulève encore deux moyens en ce sens que le jugement attaqué comporterait deux lacunes, en omettant, d’une part, la prise en compte de la possibilité pour l’intimée de toucher des prestations complémentaires de I’AVS en cas de suppression de la pension, et en n’examinant pas, d’autre part, l’opportunité de maintenir l’indexation de la pension. Concernant le premier point, on relèvera que les prestations complémentaires à l’AVS sont subsidiaires aux contributions alimentaires dues dans le cadre du droit de la famille (cf. art. 11 al. 1 let. d de la loi sur les prestations complémentaires; LPC; RS 831.30). L’argument tombe par conséquent à faux. Quant à la question de l’indexation de la pension, le Tribunal fédéral a rappelé que, si les revenus du débirentier ne sont plus indexés au coût de la vie, le montant de la contribution d’entretien ne retombait pas à son niveau initial pour autant (TF 5A_141/2009 du 12 mai 2009, c. 2.4). En plaidant que l’indexation de la pension devrait être supprimée pour tenir compte des facultés économiques du débirentier, l’appelant revient en fait sur les arguments déjà examinés plus haut. En d’autres termes, il prend une conclusion réduite, qui ne saurait être allouée au vu de ce qui précède.</w:t>
      </w:r>
    </w:p>
    <w:p>
      <w:r>
        <w:rPr>
          <w:b/>
        </w:rPr>
        <w:t>E. 10</w:t>
      </w:r>
    </w:p>
    <w:p>
      <w:r>
        <w:t>En définitive, l’appel doit être rejeté et le jugement entrepris confirmé. Les frais judiciaires de deuxième instance, arrêtés à 600 fr. (art. 63 al. 1 TFJC [tarif des frais judiciaires civils du 28 septembre 2010 ; RSV 270.11.5]) pour l’appelant, seront laissés à la charge de l’Etat. L’appelant ayant succombé, des dépens de deuxième instance, arrêtés à 2'200 fr. (art. 7 al. 1 TDC [tarif des dépens en matière civile du 23 novembre 2010 ; RSV 270.11.6]), seront mis à sa charge en faveur de l’intimée (art. 122 al. 1 let. d CPC). Pour le cas où ces dépens ne pourraient pas être recouvrés, l'indemnité d'office de Me Séverine Berger, conseil de l’intimée, sera arrêtée à 786 fr. 95, TVA et débours compris, pour la procédure de deuxième instance, montant correspondant à 3 heures et 55 minutes de travail rémunérées au tarif horaire de 180 fr., auquel s'ajoute un montant de 25 fr. 55, TVA comprise, à titre de remboursement des débours, selon liste des opérations produite le 29 juin 2015. Le conseil d'office de l’appelante, Me Jacques Micheli, a également produit sa liste des opérations le 29 juin 2015, dont il ressort qu'il a consacré 6 heures et 15 minutes à la procédure d'appel, ce qui paraît adéquat au vu de la nature de l’affaire. L'indemnité d'office de Me Micheli sera donc arrêtée à 1'236 fr. 60, TVA et débours compris, comprenant un montant de 20 fr., TVA par 1 fr. 60 en sus, à titre de remboursement forfaitaire des débours.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