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733 vom 13. August 2015</w:t>
      </w:r>
    </w:p>
    <w:p>
      <w:r>
        <w:t>VD Tribunal cantonal, 2015-08-13, FR</w:t>
      </w:r>
    </w:p>
    <w:p>
      <w:r>
        <w:rPr>
          <w:b/>
        </w:rPr>
        <w:t xml:space="preserve">Quelle: </w:t>
      </w:r>
      <w:r>
        <w:t>https://mcp.opencaselaw.ch/entscheid/vd_findinfo_HC___2015___733</w:t>
      </w:r>
    </w:p>
    <w:p>
      <w:r>
        <w:t>FR: VD_FINDINFO HC / 2015 / 733 du 13 août 2015</w:t>
      </w:r>
    </w:p>
    <w:p>
      <w:r>
        <w:t>IT: VD_FINDINFO HC / 2015 / 733 del 13 agosto 2015</w:t>
      </w:r>
    </w:p>
    <w:p>
      <w:pPr>
        <w:pStyle w:val="Heading2"/>
      </w:pPr>
      <w:r>
        <w:t>Regeste</w:t>
      </w:r>
    </w:p>
    <w:p>
      <w:r>
        <w:t>AVOCAT D'OFFICE, ASSISTANCE JUDICIAIRE, HONORAIRES | 110 CPC (CH)</w:t>
      </w:r>
    </w:p>
    <w:p>
      <w:pPr>
        <w:pStyle w:val="Heading2"/>
      </w:pPr>
      <w:r>
        <w:t>Erwägungen</w:t>
      </w:r>
    </w:p>
    <w:p>
      <w:r>
        <w:rPr>
          <w:b/>
        </w:rPr>
        <w:t>E. 1</w:t>
      </w:r>
    </w:p>
    <w:p>
      <w:r>
        <w:t>L'art. 110 CPC ouvre la voie du recours séparé de l’art. 319 let. b ch. 1 CPC contre les décisions fixant l’indemnité du conseil d’office, cette indemnité étant considérée comme des frais au sens de l’art. 95 CPC (CREC 15 avril 2014/140; CREC 13 février 2013/52; Tappy, CPC commenté, Bâle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Bâle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alii, Commentaire de la LTF, Berne 2014, n. 27 ss ad art. 97 LTF).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CPC commenté, op. cit., n. 6 ad art. 327 CPC).</w:t>
      </w:r>
    </w:p>
    <w:p>
      <w:r>
        <w:rPr>
          <w:b/>
        </w:rPr>
        <w:t>E. 3</w:t>
      </w:r>
    </w:p>
    <w:p>
      <w:r>
        <w:t>a) Le recourant se plaint d'une réduction injustifiée de ses heures d'activité selon son relevé des opérations. Il fait valoir qu'il a défendu le bénéficiaire de l'assistance judiciaire dans une procédure complexe, qui a nécessité l'examen de nombreuses créances "composites", dans une affaire où la valeur litigieuse doit jouer un rôle dans l'appréciation de l'activité de l'avocat. Il se réfère à cet égard à une proportion de 5 à 10 % pour déterminer le rapport entre le montant des honoraires et la valeur litigieuse. Il conteste également l'appréciation du premier juge selon laquelle le temps annoncé pour certaines opérations apparaît excessif, en particulier concernant la rédaction de la réponse/demande reconventionnelle. b)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op. cit., nn. 5 à 7 ad art. 122 CPC, pp. 683-664). Pour fixer la quotité de l’indemnité du conseil d’office, l’autorité cantonale doit s’inspirer des critères applicables à la modération des honoraires d’avocat (Donzallaz, Loi sur le Tribunal fédéral, Commentaire, Berne 2008, n. 1775 ad art. 64 LTF; ATF 122 Il c. 3a). Dans le canton de Vaud, l’art. 2 aI. 1 RAJ (règlement du 7 décembre 2010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(let. a) et de 110 fr. pour un avocat-stagiaire (let. b).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11 c. 3a; ATF 117 la 22 c.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(CREC 25 janvier 2013/29, in JT 2013 II 35 ss; TF 5P.462/2002 du 30 janvier 2003). c) C'est d'abord en vain que le recourant se prévaut d'un rapport entre ses honoraires d'avocat et la valeur litigieuse, les principes de rémunération du conseil d'office n'étant pas identiques à ceux applicables au conseil de choix. Au reste, le premier juge n'a manifestement pas perdu de vue les caractéristiques du litige, soit qu'il s'agit d'un conflit de travail complexe, avec de nombreuses prétentions distinctes, puisque le magistrat qui a statué sur le montant de l'indemnité est également le juge instructeur de la cause au fond. Il est donc le plus apte à apprécier les opérations nécessaires à la mission du conseil d'office. C'est pour ce motif qu'il dispose d'un large pouvoir d'appréciation. Ainsi, pour une activité de conseil d'office qui a porté sur une période d'une année environ, une rémunération de l'ordre de 5'400 fr., correspondant à près de 30 heures d'opérations, pour un conflit du travail complexe, dont la procédure était au stade de la fin du premier échange des écritures, ne prête en soi pas le flanc à la critique. Lorsque le recourant soutient que l'essentiel de son travail d'avocat a été effectué pour l'ensemble de la procédure et que l'ampleur de la tâche s'explique également par l'intransigeance de la partie adverse, il ne s'agit que de ses propres affirmations. Le recourant soutient que le calcul du premier juge au sujet du temps nécessaire à la rédaction de réponse et demande reconventionnelle équivaudrait à exiger du mandataire d'office une rédaction de 4 pages à l'heure. Cette affirmation est inexacte. Le recourant a en effet été rémunéré dans deux causes distinctes, mais qui concernent en réalité le même complexe de faits. A cet égard, à l'exception de quelques rares allégués, la teneur de la réponse et demande reconventionnelle déposée dans le cadre de la présente cause ainsi que celle de la demande déposée dans le cadre de la cause PT14.044155 sont presque identiques. La lecture de la table des matières de chacune de ces écritures le démontre. On en veut pour preuve également que le nouveau conseil d'office de L.________ a signé, immédiatement après sa désignation, une convention de procédure prévoyant le retrait de la demande du 17 octobre 2014, sans dépens, de sorte que seule la procédure PT14.025011 se poursuit désormais. Si l'on procède donc à une appréciation d'ensemble, il faut constater que la rémunération du conseil d'office s'élève au total à 15'836 fr. (10'426 fr. + 5'410 fr.), alors que le temps de rédaction des écritures ne s'est en réalité pas additionné entre les deux causes. On ne peut ainsi que constater que pour rédiger deux écritures identiques, le recourant a été rémunéré pour des opérations totalisant 86,2 heures, ce qui, pour une demande de 80 pages ou une réponse avec demande reconventionnelle de 85 pages, présente un ratio qui ne correspond pas à celui allégué dans le recours. Même en tenant compte des opérations annexes (entretiens avec le client, rapports avec la partie adverse et le premier juge, recherches juridiques, etc.), la rémunération de l'activité de l'avocat pour la rédaction des écritures paraît adéquate, de même que, par voie de conséquence, la réduction opérée par le premier juge. On voit d'ailleurs que, dans le dépouillement du relevé des opérations auquel s'est astreint la Juge déléguée, ce sont exclusivement les opérations en relation avec la rédaction de la réponse et demande reconventionnelle qui ont été refusées, celles-ci apparaissant par exemple de manière presque quotidienne du 15 au 31 octobre 2014 pour des durées équivalant à une journée ou une demi-journée de travail, ce qui est manifestement excessif. L'appréciation du premier juge ne prête ainsi pas le flanc à la critique et le montant de l'indemnité d'office arrêté en première instance doit être confirmé.</w:t>
      </w:r>
    </w:p>
    <w:p>
      <w:r>
        <w:rPr>
          <w:b/>
        </w:rPr>
        <w:t>E. 4</w:t>
      </w:r>
    </w:p>
    <w:p>
      <w:r>
        <w:t>Il s'ensuit que le recours doit être rejeté, selon le mode procédural de l'art. 322 al. 1 CPC, et le prononcé attaqué confirmé. Les frais judiciaires de deuxième instance sont arrêtés à 400 fr. (art. 69 al. 1 TFJC [tarif des frais judiciaires civils du 28 septembre 2010; RSV 270.11.5]) et mis à la charge du recourant, qui succombe (art. 106 al. 1 CPC). Par ces motifs, la Chambre des recours civile du Tribunal cantonal, en application de l'art. 322 al. 1 CPC, prononce : I. Le recours est rejeté. II. Le prononcé est confirmé. III. Les frais judiciaires de deuxième instance, arrêtés à 400 fr. (quatre cents francs), sont mis à la charge du recourant Z.________. IV. L'arrêt motivé est exécutoire. Le président :               La greffière : Du 14 août 2015 Le dispositif de l'arrêt qui précède est communiqué par écrit aux intéressés. La greffière : Du L'arrêt qui précède, dont la rédaction a été approuvée à huis clos, est notifié en expédition complète, par l'envoi de photocopies, à : ‑ Me Z.________, ‑ Me Joël Crettaz (pour 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