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711 vom 29. Juni 2015</w:t>
      </w:r>
    </w:p>
    <w:p>
      <w:r>
        <w:t>VD Tribunal cantonal, 2015-06-29, FR</w:t>
      </w:r>
    </w:p>
    <w:p>
      <w:r>
        <w:rPr>
          <w:b/>
        </w:rPr>
        <w:t xml:space="preserve">Quelle: </w:t>
      </w:r>
      <w:r>
        <w:t>https://mcp.opencaselaw.ch/entscheid/vd_findinfo_HC___2015___711</w:t>
      </w:r>
    </w:p>
    <w:p>
      <w:r>
        <w:t>FR: VD_FINDINFO HC / 2015 / 711 du 29 juin 2015</w:t>
      </w:r>
    </w:p>
    <w:p>
      <w:r>
        <w:t>IT: VD_FINDINFO HC / 2015 / 711 del 29 giugno 2015</w:t>
      </w:r>
    </w:p>
    <w:p>
      <w:pPr>
        <w:pStyle w:val="Heading2"/>
      </w:pPr>
      <w:r>
        <w:t>Regeste</w:t>
      </w:r>
    </w:p>
    <w:p>
      <w:r>
        <w:t>CLASSE DE TRAITEMENT, SALAIRE, DROIT DE LA FONCTION PUBLIQUE | 8 al. 1 Cst., 23 LPers-VD, 24 LPers-VD</w:t>
      </w:r>
    </w:p>
    <w:p>
      <w:pPr>
        <w:pStyle w:val="Heading2"/>
      </w:pPr>
      <w:r>
        <w:t>Erwägungen</w:t>
      </w:r>
    </w:p>
    <w:p>
      <w:r>
        <w:rPr>
          <w:b/>
        </w:rPr>
        <w:t>E. 1</w:t>
      </w:r>
    </w:p>
    <w:p>
      <w:r>
        <w:t>a) Le TRIPAC ayant été saisi le 2 décembre 2011, l’art. 166 al. 2 CDPJ (Code de droit privé judiciaire du 12 janvier 2010, RSV 211.02), qui dispose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(JT 2013 III 104 c. 2, CACI 22 mars 2013/166). L’art. 308 al. 1 let. a CPC (Code de procédure civile du 19 décembre 2008, RS 272), applicable à titre de droit supplétif en vertu des renvois des art. 16 al. 1 LPers-VD (loi du 12 novembre 2001 sur le personnel de l'Etat de Vaud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b) En l’espèce, s’agissant de la valeur litigieuse, celle-ci peut être calculée en se fondant sur l'art. 92 al. 1 CPC, de sorte que la valeur litigieuse est d'au moins 10'000 francs. Interjeté au demeurant en temps utile par une personne qui a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L’appelant dénonce une violation des art. 23 et 24 LPers-VD. Il indique avoir choisi la méthode GFO comme unique méthode pour l’évaluation des fonctions et que, conformément à dite méthode, il est patent que les activités et responsabilités qui y sont liées correspondent à une activité d’"électronicien". Selon lui, attribuer le niveau 11 de la chaîne 361 à l’intimé, sur la seule base de la collocation du prédécesseur policier et sans égard aux critères de la méthode GFO choisie par l'employeur, notamment sans s’être prononcé sur l’emploi-type qui devrait lui être attribué, violerait manifestement les art. 23 et 24 LPers-VD. Il ajoute que tout poste devrait avoir un emploi-type qui détermine la chaîne dans laquelle il doit être colloqué et une activité effective du collaborateur qui détermine son niveau à l’intérieur de dite chaîne. b) Conformément à l’art. 23 al. 1 LPers-VD, les collaborateurs de l’Etat de Vaud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les modalités de progression du salaire (augmentation annuelle) à l’intérieur de chaque classe (al. 2) et définit les fonctions et les évalue (al. 3).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(JT 2013 III 104 c. 5e; CACI 22 mars 2013/166). c) Les premiers juges ont soigneusement fait porter la discussion entre un emploi colloqué au niveau 10 (celui de chargé de projet) et un emploi colloqué au niveau 11 (celui de responsable de domaine de police) et ont constaté que les fonctions exercées par l’employé étaient quasiment identiques à celles de son prédécesseur, K.________, raison pour laquelle ils ont arrêté la fonction au niveau 11, sans toutefois retenir l’emploi-type de responsable de domaine de police, compte tenu de l’absence du statut de policier - ce qui ne porte pas à conséquence dans le cadre de la détermination du niveau de fonction - . d) En l'espèce, l’appelant semble perdre de vue que la commission a admis partiellement le recours de Z.________, son emploi-type qualifié d’"électronicien" ayant été corrigé en "chargé de projet" et son poste colloqué au niveau 10 de la chaîne 361 à partir du 1 er décembre 2008. Si les premiers juges ont reconnu que l’emploi-type de "chargé de projet" n’était plus conforme à son activité, ce n’était pas pour le rétrograder à la fonction d’électronicien, mais pour dire que cette qualification ne correspondait plus à ses nouvelles tâches confiées au mois de mars 2009. L’appelant indique d'ailleurs lui-même que tout poste doit avoir un emploi-type, qui détermine la chaîne dans laquelle l'employé doit être colloqué. Or, en l’état, la collocation dans la chaîne 361 n’est pas litigieuse, seul le niveau - 9, 10 ou 11 - fait l’objet de la discussion. Les différents critères de compétences professionnelles, personnelles, sociales ainsi que la conduite doivent être évalués globalement, ce qui a été fait par les premiers juges. De plus, ces derniers ont fait porter la comparaison sous l'angle des attributions, de la responsabilité et du rapport hiérarchique, dont la prise ou non en charge de subordonnés, via l’organigramme de la division technique et du cahier des charges de l’employé. Le grief de l'appelant doit donc être rejeté.</w:t>
      </w:r>
    </w:p>
    <w:p>
      <w:r>
        <w:rPr>
          <w:b/>
        </w:rPr>
        <w:t>E. 4</w:t>
      </w:r>
    </w:p>
    <w:p>
      <w:r>
        <w:t>a) L’appelant invoque une violation du principe de l’égalité de traitement. b) De la garantie générale de l’égalité de traitement de l’art. 8 al. 1 Cst. (Constitution fédérale de la Confédération suisse du 18 avril 1999,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En d’autres termes, sont permis tous les critères de distinction objectivement soutenables (TF 8C_572/2012 du 11 janvier 2013 c. 3.4; TF 8C_991/2010 du 28 juin 2011 et réf. cit.). c) En l'espèce, on ne saurait dire, avec l’appelant, que le principe d’égalité a été violé, dès lors que les premiers juges ont précisément veillé à instaurer une égalité avec la situation qui était celle du prédécesseur de K.________. L’appelant reconnaît d’ailleurs lui-même que l’intimé a repris, pour l’essentiel, les fonctions de K.________. L’argument tiré de la bascule en transition directe de son prédécesseur qui aurait été colloqué, sans cahier des charges, en tant qu’inspecteur spécialisé au niveau 11, uniquement sur la base de son grade d’inspecteur principal adjoint d’avant la bascule DECFO SYSREM, aurait pu être pertinent. Cela étant, il ne se fonde sur aucun allégué de fait, l’appelant n’ayant jamais allégué que le poste occupé effectivement par le prédécesseur avec ses propres attributions ne correspondait pas à l’emploi-type d’inspecteur spécialisé, qu’il occupait formellement. On ne saurait donc retenir que la collocation de K.________ n’était pas conforme à l’évaluation du poste qu’il occupait et reposait sur son grade en tant que policier, une telle affirmation étant irrecevable au sens de l’art. 317 CPC. Quant aux hypothétiques autres comparaisons, qui auraient dû être effectuées, aucune précision n’est apportée sur ce point par l’appelant, qui se contente de dire que le fait de limiter sa comparaison à un seul poste à l’interne, crée de nombreuses inégalités de traitement avec des postes similaires à celui de l’intimé au sein de l’Administration cantonale vaudoise, sans apporter de plus amples précisions sur le sujet. Aucun allégué de fait n’est du reste consacré à la question.</w:t>
      </w:r>
    </w:p>
    <w:p>
      <w:r>
        <w:rPr>
          <w:b/>
        </w:rPr>
        <w:t>E. 5</w:t>
      </w:r>
    </w:p>
    <w:p>
      <w:r>
        <w:t>a) Il s’ensuit que l’appel doit être rejeté, selon le mode procédural de l’art. 312 al. 1 CPC, et le jugement confirmé. b) Les frais judiciaires de deuxième instance, arrêtés à 7'757 fr. (art. 62 al. 1 TFJC [tarif du 28 septembre 2010 des frais judiciaires civils, RSV 270.11.4]),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