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705 vom 24. August 2015</w:t>
      </w:r>
    </w:p>
    <w:p>
      <w:r>
        <w:t>VD Tribunal cantonal, 2015-08-24, FR</w:t>
      </w:r>
    </w:p>
    <w:p>
      <w:r>
        <w:rPr>
          <w:b/>
        </w:rPr>
        <w:t xml:space="preserve">Quelle: </w:t>
      </w:r>
      <w:r>
        <w:t>https://mcp.opencaselaw.ch/entscheid/vd_findinfo_HC___2015___705</w:t>
      </w:r>
    </w:p>
    <w:p>
      <w:r>
        <w:t>FR: VD_FINDINFO HC / 2015 / 705 du 24 août 2015</w:t>
      </w:r>
    </w:p>
    <w:p>
      <w:r>
        <w:t>IT: VD_FINDINFO HC / 2015 / 705 del 24 agosto 2015</w:t>
      </w:r>
    </w:p>
    <w:p>
      <w:pPr>
        <w:pStyle w:val="Heading2"/>
      </w:pPr>
      <w:r>
        <w:t>Regeste</w:t>
      </w:r>
    </w:p>
    <w:p>
      <w:r>
        <w:t>PROTECTION DE L'UNION CONJUGALE, LOGEMENT, GARDE ALTERNÉE, OBLIGATION D'ENTRETIEN | 176 al. 1 ch. 1 CC, 176 al. 1 ch. 2 CC, 176 al. 3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non patrimoniales et patrimoniales qui, capitalisées selon l'art. 92 al. 2 CPC, s’élèvent à 10'000 fr. au moins,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 2.1 ; TF 5A_739/2012 du 17 mai 2013 c. 9.2.2 ; TF 4A_334/2012 du 16 octobre 2012 c. 3.1). La maxime inquisitoire, applicable lorsque le juge est saisi de questions relatives aux enfants dans les affaires de droit de la famille (TF 5A_891/2013 du 12 mars 2014 c.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 4.2, SJ 2015 I p. 17 et les réf.). b) L’appelante a produit quatre pièces. L’attestation médicale du Dr  [...] du</w:t>
      </w:r>
    </w:p>
    <w:p>
      <w:r>
        <w:rPr>
          <w:b/>
        </w:rPr>
        <w:t>E. 6</w:t>
      </w:r>
    </w:p>
    <w:p>
      <w:r>
        <w:t>Les frais judiciaires de deuxième instance sont arrêtés à 600 fr. (art. 65 al. 2 TFJC [tarif des frais judiciaires civils du 28 septembre 2010 ; RSV 270.11.5]). Dès lors que l’appelante n’obtient gain de cause que sur la mise en œuvre d’un mandat d’évaluation par le SPJ, les frais judiciaires sont mis à sa charge par 4/5, soit 500 fr., et à la charge de l’intimé par 1/5, soit 100 fr. (art. 106 al. 2 CPC), mais laissés à la charge de l’Etat dès lors que celui-ci procède au bénéfice de l’assistance judiciaire (art. 122 al. 1 let. b CPC). Les dépens de deuxième instance sont fixés à 2'000 fr. (art. 7 TDC [tarif du 23 novembre 2010 des dépens en matière civile ; RSV 270.11.6]). L’appelante obtient gain de cause pour 1/5 et a donc droit à 400 fr. pour ses dépens. L’intimé obtient gain de cause pour 4/5 et a donc droit à 1'600 fr. pour ses dépens. En définitive, l’appelante doit verser à l’intimé la somme de 1'200 fr. à titre de dépens réduits de deuxième instance. En sa qualité de conseil d’office de l'intimé, Me Xavier Rubli a droit à une rémunération équitable pour ses opérations dans la procédure d’appel (art. 122 al. 1 let. a CPC), pour le cas où les dépens de deuxième instance ne pourraient pas être recouvrés (art. 122 al. 2 CPC et art. 4 RAJ [règlement du 7 décembre 2010 sur l'assistance judiciaire en matière civile ; RSV 211.02.3]). Il y a lieu de retrancher toutes les opérations intitulées « Attention à un courrier de la Cour d’appel civile », « Attention à un courriel/mail du client » et « Attention à un courrier de Me El-Abshihy » n’impliquant qu’une lecture brève et cursive, ne dépassant pas les quelques secondes pour un avocat correctement formé (Bohnet/Martenet, Droit de la profession d’avocat, Berne 2009, n. 2962 p. 1170 et la jurisprudence citée ad n. 873 ; CACI 19 août 2015/427 ; CREC 3 septembre 2014/312). Il convient par conséquent de retenir 8h45 de travail au lieu de 10h15. Au tarif horaire de 180 fr. (art. 2 al. 1 let. a RAJ), l'indemnité est arrêtée à 1'701 fr. (1’575 fr., plus 126 fr. de TVA au taux de 8 %), les frais de déplacement à 129 fr. 60 et les débours à 10 fr. 80, TVA comprise, soit au total à 1'841 fr. 40. L’intimé est tenu, dans la mesure de l’art. 123 CPC, au remboursement des frais judiciaires et de l’indemnité à son conseil d’office mis à la charge de I’Etat. Par ces motifs, la Juge déléguée de la Cour d’appel civile du Tribunal cantonal, prononce : I. L’appel est partiellement admis. II. L’ordonnance est réformée, les chiffres V, VI et VII de son dispositif étant modifiés et complétés comme il suit : V. impartit à A.M.________ un délai échéant le 30 septembre 2015 pour quitter le logement conjugal en emportant ses effets personnels et quoi se reloger sommairement. Vbis. ordonne au Service de protection de la jeunesse de procéder à une évaluation de la situation des époux B.M.________ et A.M.________, en particulier évaluer les capacités éducatives de chacun des parents et préaviser sur l’opportunité de l’instauration d’une garde alternée, respectivement l’attribution exclusive de la garde des enfants C.M.________ et D.M.________ à l’un ou l’autre des parents. VI. astreint A.M.________ à contribuer à l’entretien des siens par le régulier versement d’une pension mensuelle de 880 fr. (huit cent huitante francs), allocations familiales éventuelles en sus, payable d’avance le premier de chaque mois en mains de B.M.________, dès le 1 er octobre 2015. VII. dit que dès que la garde alternée sera mise en œuvre, A.M.________ est astreinte à contribuer à l’entretien des siens par le régulier versement d’une pension mensuelle de 200 fr., payable d’avance le premier de chaque mois en mains de B.M.________, cette pension se substituant à celle fixée au chiffre VI, et que B.M.________ doit verser la moitié des allocations familiales à A.M.________. La décision est confirmée pour le surplus. III. Les frais judiciaires de deuxième instance, arrêtés à 600 fr. (six cents francs), sont mis à la charge de l’appelante A.M.________ par 500 fr. (cinq cents francs) et laissés à la charge de l’Etat par 100 fr. (cent francs). IV. L’appelante A.M.________ doit verser à l’intimé B.M.________ la somme de 1’200 fr. (mille deux cents francs) à titre de dépens de deuxième instance. V. L'indemnité de Me Xavier Rubli, conseil d’office de l’intimé, est arrêtée à 1'841 fr. 40 (mille huit cent quarante et un francs et quarante centimes), TVA et débours compris. VI. Le bénéficiaire de l’assistance judiciaire est tenu, dans la mesure de l’art. 123 CPC, au remboursement des frais judiciaires et de l’indemnité à son conseil d’office mis à la charge de I’Etat. VII. L'arrêt est exécutoire. La juge déléguée : La greffière : Du L'arrêt qui précède, dont la rédaction a été approuvée à huis clos, est notifié à : ‑ Me Sarah El-Abshihy (pour A.M.________) ‑ Me Xavier Rubli (pour B.M.________) ‑ Service de protection de la jeunesse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