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70 vom 22. Januar 2014</w:t>
      </w:r>
    </w:p>
    <w:p>
      <w:r>
        <w:t>VD Tribunal cantonal, 2014-01-22, FR</w:t>
      </w:r>
    </w:p>
    <w:p>
      <w:r>
        <w:rPr>
          <w:b/>
        </w:rPr>
        <w:t xml:space="preserve">Quelle: </w:t>
      </w:r>
      <w:r>
        <w:t>https://mcp.opencaselaw.ch/entscheid/vd_findinfo_HC___2015___70</w:t>
      </w:r>
    </w:p>
    <w:p>
      <w:r>
        <w:t>FR: VD_FINDINFO HC / 2015 / 70 du 22 janvier 2014</w:t>
      </w:r>
    </w:p>
    <w:p>
      <w:r>
        <w:t>IT: VD_FINDINFO HC / 2015 / 70 del 22 gennaio 2014</w:t>
      </w:r>
    </w:p>
    <w:p>
      <w:pPr>
        <w:pStyle w:val="Heading2"/>
      </w:pPr>
      <w:r>
        <w:t>Regeste</w:t>
      </w:r>
    </w:p>
    <w:p>
      <w:r>
        <w:t>EXPULSION DE LOCATAIRE, EXÉCUTION FORCÉE | 341 CPC (CH)</w:t>
      </w:r>
    </w:p>
    <w:p>
      <w:pPr>
        <w:pStyle w:val="Heading2"/>
      </w:pPr>
      <w:r>
        <w:t>Erwägungen</w:t>
      </w:r>
    </w:p>
    <w:p>
      <w:r>
        <w:rPr>
          <w:b/>
        </w:rPr>
        <w:t>E. 1</w:t>
      </w:r>
    </w:p>
    <w:p>
      <w:r>
        <w:t>L’appel n’est pas recevable contre les décisions du tribunal de l’exécution (art. 309 let. a CPC), qui peuvent donc faire l’objet d’un recours (art. 319 let. a CPC). L’exécution des décisions est régie par la procédure sommaire (art. 248 let. a CPC en lien avec l’art. 339 al. 2 CPC). Le recours, écrit et motivé, est par conséquent introduit auprès de l’instance de recours, soit en l’occurrence la Chambre des recours civile qui statue dans une composition à trois juges (JT 2011 III 44 ; CREC 21 mars 2011/11 ; CREC 18 avril 2011/35), dans les dix jours à compter de la notification de la décision motivée (art. 321 al. 1 et 2 CPC). Interjeté en temps utile par une partie qui y a intérêt (art. 59 al. 2 let. a CPC), le recours est recevable à la forme.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in Basler Kommentar, 2 e éd. 2013, n. 26 ad art. 319 CPC, p. 1811). Elle revoit librement les questions de droit soulevées par le recourant et peut substituer ses propres motifs à ceux de l'autorité précédente ou du recourant (Hohl, Procédure civile, tome II, 2 e éd., 2010, n. 2508, p. 452).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2009, n. 19 ad art. 97 LTF).</w:t>
      </w:r>
    </w:p>
    <w:p>
      <w:r>
        <w:rPr>
          <w:b/>
        </w:rPr>
        <w:t>E. 3</w:t>
      </w:r>
    </w:p>
    <w:p>
      <w:r>
        <w:t>CPC précise que, sur le fond, la partie contre laquelle l'exécution est requise ne peut alléguer que des faits qui se sont produits après la notification de la décision à exécuter, par exemple l'extinction de la dette, le sursis octroyé par le créancier et la prescription ou la péremption de la prestation due, l'extinction et le sursis devant être prouvés par titres. b) En l’espèce, l’avis d’exécution forcée attaqué se fonde sur l’ordonnance d’expulsion du 12 mai 2014 ainsi que sur l’ordonnance d’exécution forcée (d’une ordonnance d’expulsion) du 11 juillet 2014. Ces deux ordonnances sont entrées en force et sont exécutoires, le recourant s’étant expressément engagé, dans le cadre de la convention du 28 mai 2014 conclue avec le propriétaire, à ne pas déposer un appel contre l’ordonnance du 12 mai 2014. Le recourant ne peut donc, dans le cadre du présent recours, revenir sur le fond du litige et remettre en cause le caractère exécutoire de ces décisions sur lesquelles repose l’avis d’exécution forcée attaqué.</w:t>
      </w:r>
    </w:p>
    <w:p>
      <w:r>
        <w:rPr>
          <w:b/>
        </w:rPr>
        <w:t>E. 4</w:t>
      </w:r>
    </w:p>
    <w:p>
      <w:r>
        <w:t>Selon la jurisprudence, dans le cadre d'une expulsion pour retard dans le paiement du loyer selon l'art. 257d CO (Code des obligations du 30 mars 1911 ; RS 220), des motifs humanitaires peuvent entrer en ligne de compte au stade de l'exécution forcée en application du principe général de la proportionnalité. Dans tous les cas, l'ajournement de l'exécution forcée ne saurait être que relativement bref et ne doit pas équivaloir en fait à une nouvelle prolongation de bail (ATF 117 Ia 336 c. 2b). Sous l'ancien et le nouveau droit, un délai d'un mois pour l'exécution forcée a été jugé admissible (CREC 17 septembre 2013/314 c.3b ; CREC 8 mai 2013/149 c. 3d ; CREC 15 janvier 2013/10 c. 3d ; Guignard, in Procédure spéciales vaudoises, 2008, n. 3 ad art. 21 aLPEBL [loi du 18 mai 1955 sur la procédure d’expulsion en matière de baux à loyer et à ferme, abrogée au 1 er janvier 2011], p. 203). En l’espèce, le recourant a bénéficié d’un sursis de six mois octroyé par le propriétaire, la requête d’exécution forcée ayant été suspendue par ordonnance du 11 juillet 2014 jusqu’au 15 décembre 2014. Au surplus, l’exécution forcée a été fixée dans un délai de plus d’un mois, ce qui est conforme à la jurisprudence de la chambre de céans. Le principe de proportionnalité a dès lors été respecté dans le cadre de la procédure d’exécution forcée.</w:t>
      </w:r>
    </w:p>
    <w:p>
      <w:r>
        <w:rPr>
          <w:b/>
        </w:rPr>
        <w:t>E. 5</w:t>
      </w:r>
    </w:p>
    <w:p>
      <w:r>
        <w:t>Au vu de ce qui précède, le recours doit être rejeté en application de l’art. 322 al. 1 CPC et la décision d’exécution forcée confirmée. Il y a lieu de statuer sans frais, en équité (cf. art. 6 et 10 TFJC [tarif des frais judiciaires civils du 28 septembre 2010 ; RSV 270.11.5]). La requête d’assistance judiciaire du recourant est dès lors sans objet. N’ayant pas été invité à se déterminer, l’intimé n’a pas droit à des dépens. Par ces motifs, la Chambre des recours civile du Tribunal cantonal, statuant à huis clos, prononce : I. Le recours est rejeté. II. La décision est confirmée. III. L’arrêt est rendu sans frais judiciaires de deuxième instance. IV . La requête d’assistance judiciaire est sans objet. V. L’arrêt est exécutoire. Le président :               Le greffier : Du L'arrêt qui précède, dont la rédaction a été approuvée à huis clos, est notifié à : ‑ M. Q.________, ‑ M. Thierry Zumbach, aab (pour R.________).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Riviera – 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