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689 vom 30. Juli 2015</w:t>
      </w:r>
    </w:p>
    <w:p>
      <w:r>
        <w:t>VD Tribunal cantonal, 2015-07-30, FR</w:t>
      </w:r>
    </w:p>
    <w:p>
      <w:r>
        <w:rPr>
          <w:b/>
        </w:rPr>
        <w:t xml:space="preserve">Quelle: </w:t>
      </w:r>
      <w:r>
        <w:t>https://mcp.opencaselaw.ch/entscheid/vd_findinfo_HC___2015___689</w:t>
      </w:r>
    </w:p>
    <w:p>
      <w:r>
        <w:t>FR: VD_FINDINFO HC / 2015 / 689 du 30 juillet 2015</w:t>
      </w:r>
    </w:p>
    <w:p>
      <w:r>
        <w:t>IT: VD_FINDINFO HC / 2015 / 689 del 30 luglio 2015</w:t>
      </w:r>
    </w:p>
    <w:p>
      <w:pPr>
        <w:pStyle w:val="Heading2"/>
      </w:pPr>
      <w:r>
        <w:t>Regeste</w:t>
      </w:r>
    </w:p>
    <w:p>
      <w:r>
        <w:t>PROTECTION DE L'UNION CONJUGALE, OBLIGATION D'ENTRETIEN, ENFANT, NOUVEAU MOYEN DE FAIT | 176 al. 3 CC, 285 al. 1 CC, 285 CC, 317 al. 1 CPC (CH), 317 CPC (CH)</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spécialement p. 121). Dans les affaires patrimoniales, la valeur litigieuse au dernier état des conclusions devant l’autorité inférieure doit toutefois s’élever à 10'000 fr. au moins.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Formé en temps utile par une partie qui y a intérêt et portant sur des conclusions patrimoniales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La jurisprudence vaudoise admet que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(JT 2011 III 43). Cette dernière formulation permet de poser des limites à une partie qui aura violé son devoir de collaboration en première instance. La maxime inquisitoire illimitée ne dispense en effet pas les parties de collaborer activement à la procédure et de renseigner le juge sur les faits de la cause et lui indiquer les moyens de preuve disponibles, ce qui atténue considérablement la distinction entre la maxime inquisitoire sociale et la maxime inquisitoire pure ou illimitée. Ce devoir de collaboration s'impose d'autant plus lorsque c'est le débiteur qui entend obtenir une réduction de la contribution d'entretien qu'il doit verser, quand bien même ce dernier peut également – et non seulement l'enfant – se prévaloir de la maxime inquisitoire illimitée (TF 5A_99/2011 du 26 septembre 2011 c. 5.1, non publié in ATF 137 III 604 ; publication; ATF 128 III 411 c. 3.2.1; Juge délégué CACI 15 juillet 2011/157).</w:t>
      </w:r>
    </w:p>
    <w:p>
      <w:r>
        <w:rPr>
          <w:b/>
        </w:rPr>
        <w:t>E. 3</w:t>
      </w:r>
    </w:p>
    <w:p>
      <w:r>
        <w:t>L’appelant fait valoir en premier lieu qu’il ressort des pièces produites qu’il a fait l’objet d’une saisie de salaire de quelque 1'950 fr., que ces saisies s’expliquent par le fait que, d’entente avec l’épouse, il ne payait pas de pensions et que même si une pension avait été fixée, il n’y aurait pas eu une telle saisie. Il ressort des décomptes de l’assurance-chômage qu’un montant de 1'085 fr. 70 a été saisi par l’Office des poursuites d’Yverdon-Orbe en juillet 2014, puis de 1'950 fr. d’août à décembre 2015. Le grief de l’appelant à cet égard est incompréhensible dès lors que l’on perçoit mal les motifs d’une poursuite en présence d’un accord sur le fait qu’aucune pension n’était due. A supposer qu’une pension ait été fixée, on ne voit pas en quoi cela aurait permis d’aboutir à une situation différente. Par ailleurs, ni le destinataire, ni le fondement juridique de ces versements ne sont établis. Cette saisie n’a d’ailleurs pas été alléguée en première instance et on ne saurait retenir, sur la base des pièces au dossier, que le premier juge ait violé la maxime inquisitoire illimitée en omettant d’instruire la cause sur ce point. L’appelant ne l’invoque d’ailleurs pas. Ce grief est donc rejeté.</w:t>
      </w:r>
    </w:p>
    <w:p>
      <w:r>
        <w:rPr>
          <w:b/>
        </w:rPr>
        <w:t>E. 4</w:t>
      </w:r>
    </w:p>
    <w:p>
      <w:r>
        <w:t>L’appelant allègue ensuite – tout en relevant qu’il n’avait pu le faire avant en raison de son absence à l’audience – qu’il a fondé une entreprise, que le montant de sa caisse de pension a servi à acheter une camionnette pour 9'000 fr. et des machines et que la somme de 40'000 fr. était désormais épuisée. Il commencerait juste son activité et ne réaliserait que des revenus extrêmement faibles qui ne lui permettraient que de verser un montant symbolique. Les explications données par l’appelant au sujet de sa situation financière aurait pu l’être en première instance. Or, l’appelant y a renoncé en ne se présentant pas à l’audience, sans motif valable, et en s’abstenant de se déterminer par écrit sur la requête de son épouse. Il ne rend du reste pas vraisemblable en appel ses allégations, qui ne ressortent d’aucune pièce ; les extraits de son compte bancaire sont à cet égard insuffisants en tant qu’ils font état de retraits importants sans établir l’utilisation que le recourant en aurait fait. Ce grief est donc également rejeté. L’appelant ne dénonce pas plus une violation de la maxime inquisitoire illimitée par le premier juge. On peut donc estimer, sous l’angle de la vraisemblance, qu’il est en mesure de s’acquitter de la contribution d’entretien fixée par le premier juge, étant rappelé que la maxime inquisitoire illimitée ne dispense pas les parties de collaborer activement à la procédure et de renseigner le juge sur les faits de la cause et de lui indiquer les moyens de preuve disponibles.</w:t>
      </w:r>
    </w:p>
    <w:p>
      <w:r>
        <w:rPr>
          <w:b/>
        </w:rPr>
        <w:t>E. 5</w:t>
      </w:r>
    </w:p>
    <w:p>
      <w:r>
        <w:t>L’appelant soutient encore que les contributions d’entretien fixées ne lui permettraient pas de disposer de son minimum vital. a) Aux termes de l'art. 285 al. 1 CC (Code civil suisse du 10 décembre 1907, RS 210), applicable par renvoi de l'art. 176 al. 3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JT 1993 I 162). Celui des parents dont la capacité financière est supérieure peut être tenu, suivant les circonstances, de subvenir à l'entier du besoin en argent si l'autre remplit son obligation à l'égard de l'enfant essentiellement en nature (ATF 120 II 285 c. 3a/cc, JT 1996 I 213; TF 5A_ 936/2012 du 23 avril 2013 c. 2.1 et les arrêts cités).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du revenu mensuel net du débirentier si ce dernier a un enfant en bas âge, 25 à 27% lorsqu'il y en a deux, 30 à 35% lorsqu'il y en a trois et 40 % lorsqu'il y en a quatre (Bastons Bulletti, L'entretien après divorce: méthodes de calcul, montant, durée et limites, in SJ 2007 lI 77, spéc. p. 107 s.; RSJ 1984, n. 4, p. 392 et note; Meier/Stettler, Droit de la filiation, 4 e éd., Zurich 2009, p. 567 s.; TF 5A_84/2007 du 18 septembre 2007 c. 5.1, RDT 2007 299). Ces pourcentages ne valent en général que si le revenu du débiteur se situe entre 3'500 et 4'500 fr. par mois (ATF 116 III 110 c. 3a, JT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 6d et les réf. citées). Les pourcentages susmentionnés ne constituent que des taux approximatifs qui doivent être pondérés au vu des circonstances, selon l'équité (ATF 107 Il 406 c. 2c; RSJ 1984, n. 4, p. 392; Meier/Stettler, op. cit., p. 567 s.) (cf. CACI 5 avril 2013/189 c. 6). La contribution d'entretien ne doit pas dépasser les limites de la capacité contributive économique du parent débiteur (ATF 137 III 59 c. 4.2.1, SJ 2011 I 221), dont le minimum vital au sens du droit des poursuites doit être préservé (ATF 135 III 66, JT 2010 I 167). b) Pour la période pendant laquelle l’appelant a perçu des indemnités de chômage, les contributions d’entretien fixées par le premier juge n’entament pas son minimum vital dès lors que les charges mensuelles telles qu’alléguées comprennent son minimum vital par 1'200 fr. et son loyer par 450 francs. Pour la période à compter de janvier 2015, la situation financière de l’appelant – en particulier son revenu – est largement méconnue. Or, la maxime inquisitoire illimitée ne dispense pas les parties de collaborer activement à la procédure en renseignant le juge sur les faits de la cause et en lui indiquant les moyens de preuve disponibles. Le relevé bancaire produit par l’appelant est à cet égard insuffisant. Dans ces circonstances, on ne saurait retenir que son minimum vital n’est pas garanti. Par surabondance, l’appelant n’est pas parvenu à établir que les dépenses effectuées en relation avec le montant perçu de 40'726 fr. 05 étaient purement professionnelles et nécessaires pour débuter sa nouvelle activité et n’invoque par ailleurs pas une violation de la maxime inquisitoire illimitée du magistrat en lien avec ces questions, ce qui permet de confirmer l’appréciation faite par le premier juge. On ne saurait donc dire que le minimum vital de l’appelant est en l’état atteint.</w:t>
      </w:r>
    </w:p>
    <w:p>
      <w:r>
        <w:rPr>
          <w:b/>
        </w:rPr>
        <w:t>E. 6</w:t>
      </w:r>
    </w:p>
    <w:p>
      <w:r>
        <w:t>Il s’ensuit que l’appel doit être rejeté selon le mode procédural de l’art. 312 al. 1 CPC et l’ordonnance entreprise confirmée. La requête d’assistance judiciaire doit être rejetée au motif qu’à l’issue d’un examen rétrospectif de l’appel, la cause était d’emblée dépourvue de toute chance de succès (art. 117 let. b CPC). Les frais judiciaires de deuxième instance, fixés à 600 fr. (art. 65 al. 2  TFJC [Tarif des frais judiciaires civils du 28 septembre 2010, RSV 270.11.5 ]), seront mis à la charge de l'appelant qui succombe. Il n’y a pas lieu à l’allocation de dépens, l’intimée n’ayant pas été invitée à se déterminer. Par ces motifs, la juge déléguée de la Cour d’appel civile du Tribunal cantonal, statuant en application de l'art. 312 al. 1 CPC, prononce : I. L’appel est rejeté. II. L’ordonnance est confirmée. III. La requête d’assistance judiciaire de l’appelant W.________ est rejetée. IV. Les frais judiciaires, fixés à 600 fr. (six cents francs), sont mis à la charge de l’appelant W.________. V. L’arrêt est exécutoire. La juge déléguée : La greffière : Du L'arrêt qui précède, dont la rédaction a été approuvée à huis clos, est notifié en expédition complète, par l'envoi de photocopies, à : ‑ Me Laurent Gilliard (pour W.________), ‑ Me Jérôme Bénédict (pour 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