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681 vom 3. Juli 2015</w:t>
      </w:r>
    </w:p>
    <w:p>
      <w:r>
        <w:t>VD Tribunal cantonal, 2015-07-03, FR</w:t>
      </w:r>
    </w:p>
    <w:p>
      <w:r>
        <w:rPr>
          <w:b/>
        </w:rPr>
        <w:t xml:space="preserve">Quelle: </w:t>
      </w:r>
      <w:r>
        <w:t>https://mcp.opencaselaw.ch/entscheid/vd_findinfo_HC___2015___681</w:t>
      </w:r>
    </w:p>
    <w:p>
      <w:r>
        <w:t>FR: VD_FINDINFO HC / 2015 / 681 du 3 juillet 2015</w:t>
      </w:r>
    </w:p>
    <w:p>
      <w:r>
        <w:t>IT: VD_FINDINFO HC / 2015 / 681 del 3 luglio 2015</w:t>
      </w:r>
    </w:p>
    <w:p>
      <w:pPr>
        <w:pStyle w:val="Heading2"/>
      </w:pPr>
      <w:r>
        <w:t>Regeste</w:t>
      </w:r>
    </w:p>
    <w:p>
      <w:r>
        <w:t>EXPULSION DE LOCATAIRE, EXÉCUTION FORCÉE, DÉCISION SUR FRAIS, FRAIS D'EXÉCUTION | 106 al. 1 CPC (CH), 343 al. 1 let. e CPC (CH)</w:t>
      </w:r>
    </w:p>
    <w:p>
      <w:pPr>
        <w:pStyle w:val="Heading2"/>
      </w:pPr>
      <w:r>
        <w:t>Erwägungen</w:t>
      </w:r>
    </w:p>
    <w:p>
      <w:r>
        <w:rPr>
          <w:b/>
        </w:rPr>
        <w:t>E. 1</w:t>
      </w:r>
    </w:p>
    <w:p>
      <w:r>
        <w:t>L’art. 110 CPC (Code de procédure civile du 19 décembre 2008 ; RS 272) ouvre la voie du recours séparé de l’art. 319 let. b ch. 1 CPC contre la décision sur les frais (Tappy, CPC commenté, 2011, n. 3 ad art. 110 CPC), ceux-ci comprenant les dépens (art. 95 al. 1 let. b CPC). Interjeté en temps utile par une partie y ayant un intérêt,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ZPO, 2 e éd., Bâle 2013, n. 26 ad art. 319 CPC, p. ). Elle revoit librement les questions de droit soulevées par le recourant et peut substituer ses propres motifs à ceux de l'autorité précédente ou du recourant (Hohl, Procédure civile, tome II, 2 e éd., Berne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La production de pièces nouvelles en deuxième instance est prohibée (art. 326 al. 1 CPC). En l’espèce la pièce n° 3 du bordereau du recourant du 11 juin 2015 ne figure pas au dossier de première instance. Elle en conséquence irrecevable, car nouvelle.</w:t>
      </w:r>
    </w:p>
    <w:p>
      <w:r>
        <w:rPr>
          <w:b/>
        </w:rPr>
        <w:t>E. 3</w:t>
      </w:r>
    </w:p>
    <w:p>
      <w:r>
        <w:t>Le recourant conteste la mise à sa charge des frais de serrurier et des frais de déménagement. Pour les premiers, il conteste la nécessité d’une ouverture forcée et, pour les seconds, il les estime totalement disproportionnés. a) Les frais judiciaires d’exécution forcée sont régis par les règles prévues aux art. 95 ss CPC. Ils comprennent non seulement les frais de la procédure devant le tribunal de l’exécution forcée, mais également les frais de mise en œuvre des mesures d’exécution forcée, notamment l’exécution de la décision par un tiers (art. 343 al. 1 let. e CPC ; Droesé, in Basler Kommentar, Schweizerische Zivilprozessordnung, 2 e éd., Bâle 2013, nn. 18-19 ad art. 339 CPC, p. 1899), ainsi que les frais de déménageur et de serrurier (CREC 6 décembre 2011/237). Les frais de la procédure d’exécution sont à la charge de la partie succombante (art. 106 al. 1 CPC ; Jeandin, CPC commenté, Bâle 2011, nn. 16 et 18 ad art. 343 CPC, p. 1340) ; en ordonnant des mesures d’exécution forcée, le tribunal de l’exécution peut toutefois exiger du créancier qu’il avance les frais présumés (art. 98 CPC ; ibidem, p. 1340 ; CREC 6 décembre 2011/237). b) En l’espèce, c’est en vain que le recourant conteste devoir les frais de tiers dans la procédure d’exécution forcée. Il résulte du procès-verbal d’exécution du 13 mai 2013 qu’une ouverture forcée de la cave, la pose de cylindre de serrure provisoire pour la porte palière et la pose d’un cylindre de serrure définitif pour la boîte aux lettres ont dû être effectuées, de sorte que les frais de serrurier sont justifié dans leur principe et leur montant, la facture ayant été produite par les intimés. Il en va de même des frais de déménagement, le procès-verbal d’exécution forcée faisant état d’un logement en grande partie vidé, mais en désordre, les meubles et effets personnel du recourant étant entreposés dans un garde-meuble, les autres affaires étant amenées à la déchetterie. La facture de l’entreprise de déménagement fait notamment état d’une tonne de matériel et déchets incinérés ainsi que de 9 heures de travail à trois hommes et de 6 heures de travail à deux hommes. Cette facture n’a dès lors rien de disproportionné dans son montant.</w:t>
      </w:r>
    </w:p>
    <w:p>
      <w:r>
        <w:rPr>
          <w:b/>
        </w:rPr>
        <w:t>E. 4</w:t>
      </w:r>
    </w:p>
    <w:p>
      <w:r>
        <w:t>En conclusion, le recours doit être rejeté selon le mode procédural de l’art. 322 al. 1 CPC et le prononcé confirmé. Vu le rejet du recours, les frais judiciaires de deuxième instance, arrêtés à 200 fr. (art. 69 al. 1 TFJC [tarif du 28 septembre 2010 des frais judiciaires civils ; RSV 270.11.5]), doivent être mis à la charge du recourant. Par ces motifs, la Chambre des recours civile du Tribunal cantonal, en application de l'art. 322 al. 1 CPC, prononce : I. Le recours est rejeté. II. Le prononcé est confirmé. III. Les frais judiciaires de deuxième instance, arrêtés à 200 fr. (deux cents francs) sont mis à la charge du recourant Z.________. IV. L’arrêt motivé est exécutoire. Le président :               Le greffier : Du</w:t>
      </w:r>
    </w:p>
    <w:p>
      <w:r>
        <w:rPr>
          <w:b/>
        </w:rPr>
        <w:t>E. 7</w:t>
      </w:r>
    </w:p>
    <w:p>
      <w:r>
        <w:t>juillet 2015 Le dispositif de l'arrêt qui précède est communiqué par écrit aux intéressés. Le greffier : Du L'arrêt qui précède, dont la rédaction a été approuvée à huis clos, est notifié en expédition complète, par l'envoi de photocopies, à : ‑ Me Michel Dupuis (pour Z.________), ‑ M. Philippe Chiocchetti (pour A. et B.H.________).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